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26C4" w14:textId="4DAF9EC5" w:rsidR="00AB72E3" w:rsidRPr="00BB55C2" w:rsidRDefault="00BB55C2">
      <w:pPr>
        <w:rPr>
          <w:b/>
          <w:bCs/>
        </w:rPr>
      </w:pPr>
      <w:r w:rsidRPr="00BB55C2">
        <w:rPr>
          <w:b/>
          <w:bCs/>
        </w:rPr>
        <w:t>Bradford Early Years Resource Provision</w:t>
      </w:r>
    </w:p>
    <w:p w14:paraId="352411CC" w14:textId="43B29B59" w:rsidR="00FD3888" w:rsidRDefault="00FD3888" w:rsidP="00BB55C2">
      <w:pPr>
        <w:rPr>
          <w:b/>
          <w:bCs/>
        </w:rPr>
      </w:pPr>
      <w:r>
        <w:rPr>
          <w:b/>
          <w:bCs/>
        </w:rPr>
        <w:t>Purpose of the Early Years Resource Provision (EYRP)</w:t>
      </w:r>
    </w:p>
    <w:p w14:paraId="6ADD4338" w14:textId="4D86DE87" w:rsidR="007A00B4" w:rsidRDefault="00BB55C2" w:rsidP="00BB55C2">
      <w:r w:rsidRPr="00FD3888">
        <w:t xml:space="preserve">Early Years Resource provision in Bradford </w:t>
      </w:r>
      <w:r w:rsidR="00177EB0">
        <w:t>provides</w:t>
      </w:r>
      <w:r w:rsidRPr="00FD3888">
        <w:t xml:space="preserve"> specialist support and intervention for</w:t>
      </w:r>
      <w:r w:rsidR="00177EB0">
        <w:t xml:space="preserve"> nursery age</w:t>
      </w:r>
      <w:r w:rsidRPr="00FD3888">
        <w:t xml:space="preserve"> children with the most complex</w:t>
      </w:r>
      <w:r w:rsidR="00177EB0">
        <w:t xml:space="preserve"> special educational needs</w:t>
      </w:r>
      <w:r w:rsidRPr="00FD3888">
        <w:t xml:space="preserve"> </w:t>
      </w:r>
      <w:r w:rsidR="00177EB0">
        <w:t>(</w:t>
      </w:r>
      <w:r w:rsidRPr="00FD3888">
        <w:t>SEN</w:t>
      </w:r>
      <w:r w:rsidR="00177EB0">
        <w:t>)</w:t>
      </w:r>
      <w:r w:rsidRPr="00FD3888">
        <w:t>.</w:t>
      </w:r>
      <w:r w:rsidR="002773E5" w:rsidRPr="00FD3888">
        <w:t xml:space="preserve"> They are commissioned places where the Local Authority</w:t>
      </w:r>
      <w:r w:rsidR="00177EB0">
        <w:t xml:space="preserve"> (LA)</w:t>
      </w:r>
      <w:r w:rsidR="002773E5" w:rsidRPr="00FD3888">
        <w:t xml:space="preserve"> decides </w:t>
      </w:r>
      <w:r w:rsidR="007A00B4">
        <w:t>whether a child is allocated a place.</w:t>
      </w:r>
    </w:p>
    <w:p w14:paraId="29BD8277" w14:textId="5302A924" w:rsidR="00BB55C2" w:rsidRPr="00FD3888" w:rsidRDefault="007A00B4" w:rsidP="00BB55C2">
      <w:r>
        <w:t>There are two types of placement</w:t>
      </w:r>
      <w:r w:rsidR="001714B3">
        <w:t>s</w:t>
      </w:r>
      <w:r>
        <w:t>:</w:t>
      </w:r>
    </w:p>
    <w:p w14:paraId="6642DA62" w14:textId="4164CC69" w:rsidR="00BB55C2" w:rsidRPr="00BB55C2" w:rsidRDefault="00BB55C2" w:rsidP="00BB55C2">
      <w:pPr>
        <w:numPr>
          <w:ilvl w:val="0"/>
          <w:numId w:val="1"/>
        </w:numPr>
      </w:pPr>
      <w:r w:rsidRPr="00BB55C2">
        <w:t xml:space="preserve">Children with an EHC Plan where the local authority deems </w:t>
      </w:r>
      <w:r w:rsidR="001714B3">
        <w:t xml:space="preserve">a specialist early years placement is appropriate. </w:t>
      </w:r>
    </w:p>
    <w:p w14:paraId="2DC0C28F" w14:textId="37598E21" w:rsidR="00BB55C2" w:rsidRPr="00BB55C2" w:rsidRDefault="00BB55C2" w:rsidP="009C227D">
      <w:pPr>
        <w:numPr>
          <w:ilvl w:val="0"/>
          <w:numId w:val="1"/>
        </w:numPr>
      </w:pPr>
      <w:r w:rsidRPr="00BB55C2">
        <w:t xml:space="preserve">Children </w:t>
      </w:r>
      <w:r w:rsidR="008A4BFB">
        <w:t xml:space="preserve">without an EHC Plan </w:t>
      </w:r>
      <w:r w:rsidR="009C227D">
        <w:t>where the LA agree that s</w:t>
      </w:r>
      <w:r w:rsidRPr="00BB55C2">
        <w:t xml:space="preserve">pecialist learning provision in the Early Years may be required </w:t>
      </w:r>
      <w:r w:rsidRPr="009C227D">
        <w:rPr>
          <w:u w:val="single"/>
        </w:rPr>
        <w:t>and</w:t>
      </w:r>
      <w:r w:rsidRPr="00BB55C2">
        <w:t xml:space="preserve"> that the needs are at a level where </w:t>
      </w:r>
      <w:r w:rsidR="00CA20B4">
        <w:t>a mainstream early</w:t>
      </w:r>
      <w:r w:rsidRPr="00BB55C2">
        <w:t xml:space="preserve"> years setting would not be able to </w:t>
      </w:r>
      <w:r w:rsidRPr="009C227D">
        <w:rPr>
          <w:u w:val="single"/>
        </w:rPr>
        <w:t>safely</w:t>
      </w:r>
      <w:r w:rsidRPr="00BB55C2">
        <w:t xml:space="preserve"> meet their needs </w:t>
      </w:r>
      <w:r w:rsidR="00F45188">
        <w:t xml:space="preserve">even with access to specialist advice and </w:t>
      </w:r>
      <w:r w:rsidRPr="00BB55C2">
        <w:t>E</w:t>
      </w:r>
      <w:r w:rsidR="008D1B5E">
        <w:t xml:space="preserve">arly </w:t>
      </w:r>
      <w:r w:rsidRPr="00BB55C2">
        <w:t>Y</w:t>
      </w:r>
      <w:r w:rsidR="008D1B5E">
        <w:t>ears</w:t>
      </w:r>
      <w:r w:rsidRPr="00BB55C2">
        <w:t xml:space="preserve"> Inclusion Funding</w:t>
      </w:r>
      <w:r w:rsidR="008D1B5E">
        <w:t xml:space="preserve"> (</w:t>
      </w:r>
      <w:r w:rsidR="00242D0A">
        <w:t>SENIF</w:t>
      </w:r>
      <w:r w:rsidR="008D1B5E">
        <w:t>)</w:t>
      </w:r>
      <w:r w:rsidRPr="00BB55C2">
        <w:t xml:space="preserve">. </w:t>
      </w:r>
      <w:r w:rsidR="00117884">
        <w:t>These are called assessment places and last for up to 32 weeks.</w:t>
      </w:r>
    </w:p>
    <w:p w14:paraId="6434C17E" w14:textId="1756B16F" w:rsidR="00964C86" w:rsidRDefault="00E13588" w:rsidP="00072542">
      <w:pPr>
        <w:pStyle w:val="ListParagraph"/>
        <w:numPr>
          <w:ilvl w:val="0"/>
          <w:numId w:val="1"/>
        </w:numPr>
      </w:pPr>
      <w:r>
        <w:t>M</w:t>
      </w:r>
      <w:r w:rsidR="00BB55C2" w:rsidRPr="00BB55C2">
        <w:t xml:space="preserve">ost </w:t>
      </w:r>
      <w:r w:rsidR="00964C86">
        <w:t>children with SEN should have their needs met in mainstream early years settings by following a graduated approach.</w:t>
      </w:r>
      <w:r w:rsidR="00E83F9E">
        <w:t xml:space="preserve"> This includes </w:t>
      </w:r>
      <w:r w:rsidR="009E4EA1">
        <w:t xml:space="preserve">settings being able to access additional resource through </w:t>
      </w:r>
      <w:r w:rsidR="00242D0A">
        <w:t>SENIF</w:t>
      </w:r>
      <w:r w:rsidR="009E4EA1">
        <w:t>.</w:t>
      </w:r>
      <w:r w:rsidR="00964C86">
        <w:t xml:space="preserve"> EYRP places are only for children whose needs or risks cannot be safely managed in a mainstream setting.</w:t>
      </w:r>
    </w:p>
    <w:p w14:paraId="6E580A42" w14:textId="02BDA8E9" w:rsidR="00BB55C2" w:rsidRPr="00BB55C2" w:rsidRDefault="00BB55C2" w:rsidP="00BB55C2">
      <w:pPr>
        <w:rPr>
          <w:b/>
          <w:bCs/>
        </w:rPr>
      </w:pPr>
      <w:r w:rsidRPr="00BB55C2">
        <w:rPr>
          <w:b/>
          <w:bCs/>
        </w:rPr>
        <w:t xml:space="preserve">Access to </w:t>
      </w:r>
      <w:r w:rsidR="001A67A4">
        <w:rPr>
          <w:b/>
          <w:bCs/>
        </w:rPr>
        <w:t>EYRP</w:t>
      </w:r>
      <w:r w:rsidRPr="00BB55C2">
        <w:rPr>
          <w:b/>
          <w:bCs/>
        </w:rPr>
        <w:t xml:space="preserve"> Assessment places</w:t>
      </w:r>
    </w:p>
    <w:p w14:paraId="5134C589" w14:textId="40376D24" w:rsidR="00BB55C2" w:rsidRPr="00BB55C2" w:rsidRDefault="001A67A4" w:rsidP="00BB55C2">
      <w:r>
        <w:t>There are</w:t>
      </w:r>
      <w:r w:rsidR="00BB55C2" w:rsidRPr="00BB55C2">
        <w:t xml:space="preserve"> 3 routes to an EYRP Assessment place:</w:t>
      </w:r>
    </w:p>
    <w:p w14:paraId="4770E436" w14:textId="6AB28122" w:rsidR="00B27AF9" w:rsidRPr="00CA2B4B" w:rsidRDefault="00BB55C2" w:rsidP="00B27AF9">
      <w:pPr>
        <w:rPr>
          <w:b/>
          <w:bCs/>
          <w:i/>
          <w:iCs/>
        </w:rPr>
      </w:pPr>
      <w:r w:rsidRPr="00CA2B4B">
        <w:rPr>
          <w:b/>
          <w:bCs/>
          <w:i/>
          <w:iCs/>
        </w:rPr>
        <w:t>Not yet in provision</w:t>
      </w:r>
      <w:r w:rsidR="00435AD1">
        <w:rPr>
          <w:b/>
          <w:bCs/>
          <w:i/>
          <w:iCs/>
        </w:rPr>
        <w:t>:</w:t>
      </w:r>
    </w:p>
    <w:p w14:paraId="1E1BA543" w14:textId="724F951D" w:rsidR="001B6BF9" w:rsidRDefault="00667944" w:rsidP="00B27AF9">
      <w:pPr>
        <w:pStyle w:val="ListParagraph"/>
        <w:numPr>
          <w:ilvl w:val="0"/>
          <w:numId w:val="9"/>
        </w:numPr>
      </w:pPr>
      <w:r>
        <w:t xml:space="preserve">Early Years </w:t>
      </w:r>
      <w:r w:rsidR="00B3131B">
        <w:t>specialist education advisory services</w:t>
      </w:r>
      <w:r w:rsidR="00E46B34">
        <w:t xml:space="preserve"> identify a child is due to start in </w:t>
      </w:r>
      <w:r w:rsidR="00BB55C2">
        <w:t>early years education</w:t>
      </w:r>
    </w:p>
    <w:p w14:paraId="093DC269" w14:textId="362ECD1C" w:rsidR="001221F4" w:rsidRDefault="001B6BF9" w:rsidP="00B27AF9">
      <w:pPr>
        <w:pStyle w:val="ListParagraph"/>
        <w:numPr>
          <w:ilvl w:val="0"/>
          <w:numId w:val="9"/>
        </w:numPr>
      </w:pPr>
      <w:r>
        <w:t>The child has</w:t>
      </w:r>
      <w:r w:rsidR="008672DB">
        <w:t xml:space="preserve"> complex SEN</w:t>
      </w:r>
      <w:r>
        <w:t xml:space="preserve"> and would not be able to safely access </w:t>
      </w:r>
      <w:r w:rsidR="001221F4">
        <w:t>support in a</w:t>
      </w:r>
      <w:r w:rsidR="00BB55C2">
        <w:t xml:space="preserve"> mainstream</w:t>
      </w:r>
      <w:r w:rsidR="001221F4">
        <w:t xml:space="preserve"> setting even with involvement of services and </w:t>
      </w:r>
      <w:r w:rsidR="00242D0A">
        <w:t>SENIF</w:t>
      </w:r>
      <w:r w:rsidR="001221F4">
        <w:t>.</w:t>
      </w:r>
    </w:p>
    <w:p w14:paraId="01C1D07E" w14:textId="23A962FE" w:rsidR="001221F4" w:rsidRDefault="001221F4">
      <w:pPr>
        <w:pStyle w:val="ListParagraph"/>
        <w:numPr>
          <w:ilvl w:val="0"/>
          <w:numId w:val="9"/>
        </w:numPr>
      </w:pPr>
      <w:r>
        <w:t xml:space="preserve">Children in this category may be going through an EHC Needs Assessment following a local authority led request. Whilst there is time to start an EHC Needs Assessment, there is not time to complete it prior to starting nursery provision. </w:t>
      </w:r>
      <w:r w:rsidR="00BB55C2">
        <w:t xml:space="preserve"> </w:t>
      </w:r>
    </w:p>
    <w:p w14:paraId="743EFC73" w14:textId="77777777" w:rsidR="001221F4" w:rsidRDefault="00BB55C2" w:rsidP="00B27AF9">
      <w:pPr>
        <w:pStyle w:val="ListParagraph"/>
        <w:numPr>
          <w:ilvl w:val="0"/>
          <w:numId w:val="9"/>
        </w:numPr>
      </w:pPr>
      <w:r>
        <w:t>It is expected that children who have lived in Bradford for all or most of their lif</w:t>
      </w:r>
      <w:r w:rsidR="001221F4">
        <w:t>e that require such provision should be assessed prior to this point.</w:t>
      </w:r>
    </w:p>
    <w:p w14:paraId="75C353EF" w14:textId="5D10F0FC" w:rsidR="00937A89" w:rsidRPr="00CA2B4B" w:rsidRDefault="00BB55C2" w:rsidP="00937A89">
      <w:pPr>
        <w:rPr>
          <w:i/>
          <w:iCs/>
        </w:rPr>
      </w:pPr>
      <w:r w:rsidRPr="00CA2B4B">
        <w:rPr>
          <w:b/>
          <w:bCs/>
          <w:i/>
          <w:iCs/>
        </w:rPr>
        <w:t>Presented at provision</w:t>
      </w:r>
      <w:r w:rsidR="00435AD1">
        <w:rPr>
          <w:b/>
          <w:bCs/>
          <w:i/>
          <w:iCs/>
        </w:rPr>
        <w:t>:</w:t>
      </w:r>
      <w:r w:rsidRPr="00CA2B4B">
        <w:rPr>
          <w:i/>
          <w:iCs/>
        </w:rPr>
        <w:t xml:space="preserve"> </w:t>
      </w:r>
    </w:p>
    <w:p w14:paraId="2B588E4B" w14:textId="204E9CB2" w:rsidR="00937A89" w:rsidRDefault="00937A89" w:rsidP="00937A89">
      <w:pPr>
        <w:pStyle w:val="ListParagraph"/>
        <w:numPr>
          <w:ilvl w:val="0"/>
          <w:numId w:val="10"/>
        </w:numPr>
      </w:pPr>
      <w:r>
        <w:t xml:space="preserve">A child arrives at a setting with no previous involvement from </w:t>
      </w:r>
      <w:r w:rsidR="00667944">
        <w:t>Early Years Advisory and specialist education service</w:t>
      </w:r>
      <w:r>
        <w:t xml:space="preserve">s. </w:t>
      </w:r>
    </w:p>
    <w:p w14:paraId="030040D4" w14:textId="77777777" w:rsidR="006864AE" w:rsidRDefault="00937A89" w:rsidP="00937A89">
      <w:pPr>
        <w:pStyle w:val="ListParagraph"/>
        <w:numPr>
          <w:ilvl w:val="0"/>
          <w:numId w:val="10"/>
        </w:numPr>
      </w:pPr>
      <w:r>
        <w:t xml:space="preserve">Their </w:t>
      </w:r>
      <w:r w:rsidR="006864AE">
        <w:t>needs are immediately recognised as complex and unsafe to manage in mainstream setting with ordinarily available support</w:t>
      </w:r>
    </w:p>
    <w:p w14:paraId="1274F859" w14:textId="5759B4A0" w:rsidR="00DD6B69" w:rsidRDefault="00667944" w:rsidP="00937A89">
      <w:pPr>
        <w:pStyle w:val="ListParagraph"/>
        <w:numPr>
          <w:ilvl w:val="0"/>
          <w:numId w:val="10"/>
        </w:numPr>
      </w:pPr>
      <w:r>
        <w:lastRenderedPageBreak/>
        <w:t>Early Years Advisory and specialist education service</w:t>
      </w:r>
      <w:r w:rsidR="006864AE">
        <w:t xml:space="preserve">s must confirm that </w:t>
      </w:r>
      <w:r w:rsidR="00DD6B69">
        <w:t>the levels of needs present as complex and that a graduated approach cannot be safely followed within a mainstream setting</w:t>
      </w:r>
    </w:p>
    <w:p w14:paraId="7699E27D" w14:textId="6DF9CD9C" w:rsidR="007D737C" w:rsidRPr="00CA2B4B" w:rsidRDefault="00BB55C2" w:rsidP="00DD6B69">
      <w:pPr>
        <w:rPr>
          <w:i/>
          <w:iCs/>
        </w:rPr>
      </w:pPr>
      <w:r w:rsidRPr="00CA2B4B">
        <w:rPr>
          <w:b/>
          <w:bCs/>
          <w:i/>
          <w:iCs/>
        </w:rPr>
        <w:t>Within provision</w:t>
      </w:r>
      <w:r w:rsidR="00435AD1">
        <w:rPr>
          <w:b/>
          <w:bCs/>
          <w:i/>
          <w:iCs/>
        </w:rPr>
        <w:t>:</w:t>
      </w:r>
      <w:r w:rsidRPr="00CA2B4B">
        <w:rPr>
          <w:i/>
          <w:iCs/>
        </w:rPr>
        <w:t xml:space="preserve"> </w:t>
      </w:r>
    </w:p>
    <w:p w14:paraId="7CA2AD86" w14:textId="77777777" w:rsidR="008524E2" w:rsidRDefault="007D737C" w:rsidP="007D737C">
      <w:pPr>
        <w:pStyle w:val="ListParagraph"/>
        <w:numPr>
          <w:ilvl w:val="0"/>
          <w:numId w:val="11"/>
        </w:numPr>
      </w:pPr>
      <w:r>
        <w:t xml:space="preserve">A child already attending a setting without prior service involvement shows complex SEN where </w:t>
      </w:r>
      <w:r w:rsidR="008524E2">
        <w:t>it is not safe for them to access the setting with the support that is ordinarily available.</w:t>
      </w:r>
    </w:p>
    <w:p w14:paraId="1F42EEBA" w14:textId="1F01BA23" w:rsidR="0091331B" w:rsidRDefault="00667944" w:rsidP="007D737C">
      <w:pPr>
        <w:pStyle w:val="ListParagraph"/>
        <w:numPr>
          <w:ilvl w:val="0"/>
          <w:numId w:val="11"/>
        </w:numPr>
      </w:pPr>
      <w:r>
        <w:t>Early Years Advisory and specialist education services</w:t>
      </w:r>
      <w:r w:rsidR="008524E2">
        <w:t xml:space="preserve"> must agree that </w:t>
      </w:r>
      <w:r w:rsidR="0091331B">
        <w:t>needs are complex and that risks cannot be mitigated within the provision.</w:t>
      </w:r>
    </w:p>
    <w:p w14:paraId="4FCD6E38" w14:textId="73600561" w:rsidR="006F16A3" w:rsidRPr="006F16A3" w:rsidRDefault="006F16A3" w:rsidP="00BB55C2">
      <w:pPr>
        <w:rPr>
          <w:b/>
          <w:bCs/>
        </w:rPr>
      </w:pPr>
      <w:r>
        <w:rPr>
          <w:b/>
          <w:bCs/>
        </w:rPr>
        <w:t>Decision making for assessment places</w:t>
      </w:r>
    </w:p>
    <w:p w14:paraId="6653AE98" w14:textId="70CFF935" w:rsidR="00DC6A68" w:rsidRDefault="00667944" w:rsidP="001848E3">
      <w:r>
        <w:t xml:space="preserve">Early </w:t>
      </w:r>
      <w:r w:rsidR="00B3131B">
        <w:t xml:space="preserve">Years specialist education advisory services </w:t>
      </w:r>
      <w:r w:rsidR="00015418">
        <w:t xml:space="preserve">are responsible for making a </w:t>
      </w:r>
      <w:r w:rsidR="00DC6A68">
        <w:t>request for an EYRP assessment place</w:t>
      </w:r>
      <w:r w:rsidR="003648B1">
        <w:t>, providing appropriate documentation to support the request. This should include:</w:t>
      </w:r>
    </w:p>
    <w:p w14:paraId="0DDB3003" w14:textId="6C3DBEBC" w:rsidR="00BD3222" w:rsidRDefault="00BD3222" w:rsidP="003648B1">
      <w:pPr>
        <w:pStyle w:val="ListParagraph"/>
        <w:numPr>
          <w:ilvl w:val="0"/>
          <w:numId w:val="12"/>
        </w:numPr>
      </w:pPr>
      <w:r>
        <w:t>Evidence of need – evidence of need must be provided</w:t>
      </w:r>
      <w:r w:rsidR="009E43B2">
        <w:t xml:space="preserve"> that shows that the child will have severe or profound needs in at least two areas of development using the Early Years progress grid</w:t>
      </w:r>
    </w:p>
    <w:p w14:paraId="43A6E3C4" w14:textId="794C875C" w:rsidR="003648B1" w:rsidRDefault="003648B1" w:rsidP="003648B1">
      <w:pPr>
        <w:pStyle w:val="ListParagraph"/>
        <w:numPr>
          <w:ilvl w:val="0"/>
          <w:numId w:val="12"/>
        </w:numPr>
      </w:pPr>
      <w:r>
        <w:t xml:space="preserve">Evidence of risk </w:t>
      </w:r>
      <w:r w:rsidR="00DF2364">
        <w:t>– a completed risk assessment must be completed detailing that adjustments to keeping the child safe cannot be reasonably made in a mainstream setting with the support</w:t>
      </w:r>
      <w:r w:rsidR="00BD3222">
        <w:t xml:space="preserve"> that could be made available</w:t>
      </w:r>
      <w:r w:rsidR="006B4356">
        <w:t xml:space="preserve"> as part of the provider following a graduated approach to meeting needs</w:t>
      </w:r>
    </w:p>
    <w:p w14:paraId="1AF9B376" w14:textId="32C394F0" w:rsidR="00BD3222" w:rsidRDefault="006B4356" w:rsidP="000E6B82">
      <w:r>
        <w:t>The EHC Resource panel will make the decision as to whether an EYRP Assessment place is provided or not.</w:t>
      </w:r>
    </w:p>
    <w:p w14:paraId="158B11BD" w14:textId="3060A750" w:rsidR="00B93758" w:rsidRDefault="00B93758" w:rsidP="00B93758">
      <w:r>
        <w:t>Where an EYRP Assessment place is agreed, it is expected to last no more than 32 weeks</w:t>
      </w:r>
      <w:r w:rsidR="003E6DB4">
        <w:t xml:space="preserve">. It is expected that where an EHC Needs Assessment is appropriate, the submission for this should be completed within the first 12 weeks of the placement. If </w:t>
      </w:r>
      <w:r w:rsidR="00B40A90">
        <w:t xml:space="preserve">this is not the case, then it may be appropriate for the placement to revert to being a mainstream nursery placement. </w:t>
      </w:r>
    </w:p>
    <w:p w14:paraId="4EBB75FC" w14:textId="7BDFFED4" w:rsidR="00E66E69" w:rsidRDefault="00E66E69" w:rsidP="00B93758">
      <w:r>
        <w:t xml:space="preserve">At the end of the </w:t>
      </w:r>
      <w:r w:rsidR="003E6DB4">
        <w:t>32-week</w:t>
      </w:r>
      <w:r>
        <w:t xml:space="preserve"> </w:t>
      </w:r>
      <w:r w:rsidR="00EA04E7">
        <w:t xml:space="preserve">period or at the point of issue of an EHC Plan, whichever is earlier, an additional decision will be required as to </w:t>
      </w:r>
      <w:r w:rsidR="00207F92">
        <w:t>child placement.</w:t>
      </w:r>
      <w:r w:rsidR="00B40A90">
        <w:t xml:space="preserve"> This decision will be through normal decision making around EHC Plans and is likely to </w:t>
      </w:r>
      <w:r w:rsidR="00DA4E26">
        <w:t>decide</w:t>
      </w:r>
      <w:r w:rsidR="00B40A90">
        <w:t xml:space="preserve"> whether a mainstream or resource provision is the most appropriate for the child.</w:t>
      </w:r>
    </w:p>
    <w:p w14:paraId="7AECD437" w14:textId="79DAD377" w:rsidR="00B93758" w:rsidRPr="00586A0D" w:rsidRDefault="00586A0D" w:rsidP="000E6B82">
      <w:pPr>
        <w:rPr>
          <w:b/>
          <w:bCs/>
        </w:rPr>
      </w:pPr>
      <w:r>
        <w:rPr>
          <w:b/>
          <w:bCs/>
        </w:rPr>
        <w:t>Aligning EHC Needs Assessment and EYRP Assessment place requests</w:t>
      </w:r>
    </w:p>
    <w:p w14:paraId="36463082" w14:textId="23675BCB" w:rsidR="00544829" w:rsidRDefault="00586A0D" w:rsidP="00BB55C2">
      <w:r>
        <w:t>Requests</w:t>
      </w:r>
      <w:r w:rsidR="00544829">
        <w:t xml:space="preserve"> for an EHC Needs Assessment should be </w:t>
      </w:r>
      <w:r>
        <w:t>made when appropriate</w:t>
      </w:r>
      <w:r w:rsidR="00A921DE">
        <w:t xml:space="preserve">, but </w:t>
      </w:r>
      <w:r w:rsidR="00CC5FFC">
        <w:t>most likely within the first 12 weeks of placement if not already in place</w:t>
      </w:r>
      <w:r w:rsidR="00CC0864">
        <w:t xml:space="preserve">. </w:t>
      </w:r>
      <w:r w:rsidR="00325F85">
        <w:t xml:space="preserve">EYRP Assessment places and EHC Needs Assessments are related but separate processes. </w:t>
      </w:r>
      <w:r w:rsidR="009E2933">
        <w:t xml:space="preserve">It is not assumed that </w:t>
      </w:r>
      <w:r w:rsidR="00E603DF">
        <w:t>one should follow the other</w:t>
      </w:r>
      <w:r w:rsidR="0093521E">
        <w:t>. To address and meet needs</w:t>
      </w:r>
      <w:r w:rsidR="00E603DF">
        <w:t xml:space="preserve"> the right </w:t>
      </w:r>
      <w:r w:rsidR="00E603DF">
        <w:lastRenderedPageBreak/>
        <w:t>provision and support should be progressed at the right time.</w:t>
      </w:r>
      <w:r w:rsidR="00CC0864">
        <w:t xml:space="preserve"> </w:t>
      </w:r>
      <w:r w:rsidR="005407BB">
        <w:t xml:space="preserve">It is likely that an EHC Needs Assessment </w:t>
      </w:r>
      <w:r w:rsidR="000B2C00">
        <w:t>would</w:t>
      </w:r>
      <w:r w:rsidR="005407BB">
        <w:t xml:space="preserve"> be </w:t>
      </w:r>
      <w:r w:rsidR="00803059">
        <w:t>requested</w:t>
      </w:r>
      <w:r w:rsidR="005407BB">
        <w:t xml:space="preserve"> </w:t>
      </w:r>
      <w:r w:rsidR="00574797">
        <w:t xml:space="preserve">prior to or </w:t>
      </w:r>
      <w:r w:rsidR="000B2C00">
        <w:t xml:space="preserve">immediately </w:t>
      </w:r>
      <w:r w:rsidR="00574797">
        <w:t xml:space="preserve">when a child enters an </w:t>
      </w:r>
      <w:r w:rsidR="00803059">
        <w:t xml:space="preserve">EYRP </w:t>
      </w:r>
      <w:r w:rsidR="00574797">
        <w:t>assessment place.</w:t>
      </w:r>
    </w:p>
    <w:p w14:paraId="59210E34" w14:textId="77777777" w:rsidR="00CA2B4B" w:rsidRDefault="00803059" w:rsidP="00BB55C2">
      <w:r>
        <w:t xml:space="preserve">There are 3 routes to </w:t>
      </w:r>
      <w:r w:rsidR="00CA2B4B">
        <w:t>address the assessments:</w:t>
      </w:r>
    </w:p>
    <w:p w14:paraId="29673672" w14:textId="009EE48C" w:rsidR="00CA2B4B" w:rsidRPr="00435AD1" w:rsidRDefault="00435AD1" w:rsidP="00CA2B4B">
      <w:pPr>
        <w:rPr>
          <w:b/>
          <w:bCs/>
          <w:i/>
          <w:iCs/>
        </w:rPr>
      </w:pPr>
      <w:r>
        <w:rPr>
          <w:b/>
          <w:bCs/>
          <w:i/>
          <w:iCs/>
        </w:rPr>
        <w:t>LA service requests EHC Needs Assessment and EYRP Assessment place at same time:</w:t>
      </w:r>
    </w:p>
    <w:p w14:paraId="1B64BCE8" w14:textId="4871DF82" w:rsidR="0078531C" w:rsidRDefault="0078531C" w:rsidP="0078531C">
      <w:pPr>
        <w:pStyle w:val="ListParagraph"/>
        <w:numPr>
          <w:ilvl w:val="0"/>
          <w:numId w:val="14"/>
        </w:numPr>
      </w:pPr>
      <w:r>
        <w:t xml:space="preserve">The service </w:t>
      </w:r>
      <w:r w:rsidR="000B447B">
        <w:t xml:space="preserve">should complete the portal for the EHC Needs Assessment </w:t>
      </w:r>
      <w:r>
        <w:t xml:space="preserve">and attach </w:t>
      </w:r>
      <w:r w:rsidR="006951FF">
        <w:t>all appropriate paperwork including the risk assessment</w:t>
      </w:r>
      <w:r w:rsidR="00813E32">
        <w:t>.</w:t>
      </w:r>
    </w:p>
    <w:p w14:paraId="1AFC3475" w14:textId="05F2A35D" w:rsidR="005D20F6" w:rsidRDefault="0078531C" w:rsidP="0078531C">
      <w:pPr>
        <w:pStyle w:val="ListParagraph"/>
        <w:numPr>
          <w:ilvl w:val="0"/>
          <w:numId w:val="14"/>
        </w:numPr>
      </w:pPr>
      <w:r>
        <w:t xml:space="preserve">The </w:t>
      </w:r>
      <w:r w:rsidR="005D20F6">
        <w:t>EYRP Assessment place request should be completed and attached to the portal referencing the EHC Needs Assessment request rather than duplicating documentation</w:t>
      </w:r>
      <w:r w:rsidR="00813E32">
        <w:t>.</w:t>
      </w:r>
    </w:p>
    <w:p w14:paraId="725E04C9" w14:textId="22490262" w:rsidR="00D84A9E" w:rsidRDefault="005D20F6" w:rsidP="0078531C">
      <w:pPr>
        <w:pStyle w:val="ListParagraph"/>
        <w:numPr>
          <w:ilvl w:val="0"/>
          <w:numId w:val="14"/>
        </w:numPr>
      </w:pPr>
      <w:r>
        <w:t xml:space="preserve">The service should </w:t>
      </w:r>
      <w:r w:rsidR="00F72412">
        <w:t xml:space="preserve">notify the SENDIAT casework officer responsible for </w:t>
      </w:r>
      <w:r>
        <w:t xml:space="preserve">EYRP </w:t>
      </w:r>
      <w:r w:rsidR="00F72412">
        <w:t>Assessment placement so that they are able to gather the information from the EHC Needs Assessment and make the placement request.</w:t>
      </w:r>
    </w:p>
    <w:p w14:paraId="101733A7" w14:textId="47222DD6" w:rsidR="004C5D92" w:rsidRPr="00F16495" w:rsidRDefault="004C5D92" w:rsidP="00BB55C2">
      <w:pPr>
        <w:rPr>
          <w:b/>
          <w:bCs/>
          <w:i/>
          <w:iCs/>
        </w:rPr>
      </w:pPr>
      <w:r w:rsidRPr="00F16495">
        <w:rPr>
          <w:b/>
          <w:bCs/>
          <w:i/>
          <w:iCs/>
        </w:rPr>
        <w:t>LA service requests</w:t>
      </w:r>
      <w:r w:rsidR="00F16495" w:rsidRPr="00F16495">
        <w:rPr>
          <w:b/>
          <w:bCs/>
          <w:i/>
          <w:iCs/>
        </w:rPr>
        <w:t xml:space="preserve"> EYRP Assessment place only:</w:t>
      </w:r>
    </w:p>
    <w:p w14:paraId="6A87BBB6" w14:textId="5413DA90" w:rsidR="00035A34" w:rsidRDefault="00F16495" w:rsidP="00F16495">
      <w:pPr>
        <w:pStyle w:val="ListParagraph"/>
        <w:numPr>
          <w:ilvl w:val="0"/>
          <w:numId w:val="15"/>
        </w:numPr>
      </w:pPr>
      <w:r>
        <w:t>The service</w:t>
      </w:r>
      <w:r w:rsidR="00035A34">
        <w:t xml:space="preserve"> complete</w:t>
      </w:r>
      <w:r>
        <w:t>s</w:t>
      </w:r>
      <w:r w:rsidR="00035A34">
        <w:t xml:space="preserve"> the </w:t>
      </w:r>
      <w:r w:rsidR="003103A2">
        <w:t>Early Years RP assessment placement form and send</w:t>
      </w:r>
      <w:r>
        <w:t>s</w:t>
      </w:r>
      <w:r w:rsidR="003103A2">
        <w:t xml:space="preserve"> this directly to the SENDIAT casework officer responsible for Assessment placement with all supporting documentation so that they </w:t>
      </w:r>
      <w:r w:rsidR="00FA63E7">
        <w:t>can</w:t>
      </w:r>
      <w:r w:rsidR="003103A2">
        <w:t xml:space="preserve"> progress the placement request.</w:t>
      </w:r>
    </w:p>
    <w:p w14:paraId="68421DDE" w14:textId="001A2463" w:rsidR="00FA63E7" w:rsidRDefault="00FA63E7" w:rsidP="00F16495">
      <w:pPr>
        <w:pStyle w:val="ListParagraph"/>
        <w:numPr>
          <w:ilvl w:val="0"/>
          <w:numId w:val="15"/>
        </w:numPr>
      </w:pPr>
      <w:r>
        <w:t xml:space="preserve">If an EHC Needs Assessment has already been </w:t>
      </w:r>
      <w:r w:rsidR="00813E32">
        <w:t>started the documentation should reference this rather than duplicating documentation.</w:t>
      </w:r>
    </w:p>
    <w:p w14:paraId="01BEBC33" w14:textId="77777777" w:rsidR="00041E95" w:rsidRPr="00041E95" w:rsidRDefault="002B7243" w:rsidP="00BB55C2">
      <w:pPr>
        <w:rPr>
          <w:b/>
          <w:bCs/>
          <w:i/>
          <w:iCs/>
        </w:rPr>
      </w:pPr>
      <w:r w:rsidRPr="00041E95">
        <w:rPr>
          <w:b/>
          <w:bCs/>
          <w:i/>
          <w:iCs/>
        </w:rPr>
        <w:t>Where an EHC Needs Assessment has not been started prior to an assessment place</w:t>
      </w:r>
      <w:r w:rsidR="00041E95" w:rsidRPr="00041E95">
        <w:rPr>
          <w:b/>
          <w:bCs/>
          <w:i/>
          <w:iCs/>
        </w:rPr>
        <w:t>:</w:t>
      </w:r>
    </w:p>
    <w:p w14:paraId="645B3CB6" w14:textId="6BD79779" w:rsidR="002B7243" w:rsidRDefault="00041E95" w:rsidP="00BB55C2">
      <w:r>
        <w:t>T</w:t>
      </w:r>
      <w:r w:rsidR="002B7243">
        <w:t>he provider should progress the EHC Needs Assessment request using the portal.</w:t>
      </w:r>
    </w:p>
    <w:p w14:paraId="7EE8A480" w14:textId="49C97209" w:rsidR="000605D9" w:rsidRPr="000605D9" w:rsidRDefault="000605D9" w:rsidP="00BB55C2">
      <w:pPr>
        <w:rPr>
          <w:b/>
          <w:bCs/>
        </w:rPr>
      </w:pPr>
      <w:r w:rsidRPr="000605D9">
        <w:rPr>
          <w:b/>
          <w:bCs/>
        </w:rPr>
        <w:t>Decision making for children with EHC Plans</w:t>
      </w:r>
    </w:p>
    <w:p w14:paraId="435093A0" w14:textId="64B3D743" w:rsidR="000605D9" w:rsidRDefault="00E248F1" w:rsidP="00BB55C2">
      <w:r>
        <w:t xml:space="preserve">Requests for an EYRP for a </w:t>
      </w:r>
      <w:r w:rsidR="00DC3E36">
        <w:t xml:space="preserve">child with an </w:t>
      </w:r>
      <w:r w:rsidR="000605D9">
        <w:t xml:space="preserve">EHC Plan </w:t>
      </w:r>
      <w:r w:rsidR="00FF5086">
        <w:t>should follow the usual process for considering placement in section I of the EHC plan. This includes consultation in line with the EHC plan and decision making through the EHC Resource panel.</w:t>
      </w:r>
    </w:p>
    <w:p w14:paraId="2C019D88" w14:textId="33A72A30" w:rsidR="00574797" w:rsidRPr="00574797" w:rsidRDefault="00574797" w:rsidP="00BB55C2">
      <w:pPr>
        <w:rPr>
          <w:b/>
          <w:bCs/>
        </w:rPr>
      </w:pPr>
      <w:r>
        <w:rPr>
          <w:b/>
          <w:bCs/>
        </w:rPr>
        <w:t>Funding Early Years Resource provision</w:t>
      </w:r>
    </w:p>
    <w:p w14:paraId="70BFBFB0" w14:textId="3457B44A" w:rsidR="00D33904" w:rsidRDefault="00D33904" w:rsidP="00BB55C2">
      <w:r>
        <w:t>EYRP Assessment places receive element 2 funding plus band 4L top up (pro-rata)</w:t>
      </w:r>
    </w:p>
    <w:p w14:paraId="25F8C658" w14:textId="6194CBA2" w:rsidR="00D33904" w:rsidRDefault="00D33904" w:rsidP="00BB55C2">
      <w:r>
        <w:t>EYRP placements for children with an EHC Plan receive element 2 funding plus the top up funding linked to their EHC Plan (pro-rata)</w:t>
      </w:r>
    </w:p>
    <w:p w14:paraId="184CAC85" w14:textId="5781E260" w:rsidR="007A6FE7" w:rsidRPr="00C343CF" w:rsidRDefault="00C343CF" w:rsidP="00BB55C2">
      <w:pPr>
        <w:rPr>
          <w:b/>
          <w:bCs/>
        </w:rPr>
      </w:pPr>
      <w:r w:rsidRPr="00C343CF">
        <w:rPr>
          <w:b/>
          <w:bCs/>
        </w:rPr>
        <w:t xml:space="preserve">Early Years Resource provision </w:t>
      </w:r>
      <w:r w:rsidR="00DF0A92" w:rsidRPr="00C343CF">
        <w:rPr>
          <w:b/>
          <w:bCs/>
        </w:rPr>
        <w:t>offers</w:t>
      </w:r>
    </w:p>
    <w:p w14:paraId="47BF8FF7" w14:textId="70801429" w:rsidR="00E13588" w:rsidRDefault="00E13588" w:rsidP="00BB55C2">
      <w:r>
        <w:t>Early years resource provision</w:t>
      </w:r>
      <w:r w:rsidR="000739D1">
        <w:t>s</w:t>
      </w:r>
      <w:r>
        <w:t xml:space="preserve"> </w:t>
      </w:r>
      <w:r w:rsidR="00D33904">
        <w:t>should</w:t>
      </w:r>
      <w:r>
        <w:t xml:space="preserve"> have the following minimum input:</w:t>
      </w:r>
    </w:p>
    <w:p w14:paraId="0A96F77C" w14:textId="4237430F" w:rsidR="00E13588" w:rsidRDefault="00E13588" w:rsidP="00E13588">
      <w:pPr>
        <w:pStyle w:val="ListParagraph"/>
        <w:numPr>
          <w:ilvl w:val="0"/>
          <w:numId w:val="4"/>
        </w:numPr>
      </w:pPr>
      <w:r>
        <w:lastRenderedPageBreak/>
        <w:t>An identified space to lead the provision and</w:t>
      </w:r>
      <w:r w:rsidR="00D0289A">
        <w:t xml:space="preserve"> deliver</w:t>
      </w:r>
      <w:r>
        <w:t xml:space="preserve"> appropriate interventions. Whilst children </w:t>
      </w:r>
      <w:r w:rsidR="00D0289A">
        <w:t>may not</w:t>
      </w:r>
      <w:r>
        <w:t xml:space="preserve"> always be within this space, it is expected that it exists to </w:t>
      </w:r>
      <w:r w:rsidR="001C68B0">
        <w:t>deliver</w:t>
      </w:r>
      <w:r>
        <w:t xml:space="preserve"> appropriate interventions and is used in line with the specific needs of the child.</w:t>
      </w:r>
    </w:p>
    <w:p w14:paraId="5C6E0A36" w14:textId="2C23D55D" w:rsidR="00E13588" w:rsidRDefault="00E13588" w:rsidP="00E13588">
      <w:pPr>
        <w:pStyle w:val="ListParagraph"/>
        <w:numPr>
          <w:ilvl w:val="0"/>
          <w:numId w:val="4"/>
        </w:numPr>
      </w:pPr>
      <w:r>
        <w:t xml:space="preserve">Higher staffing ratio’s than non-specialist early years education. </w:t>
      </w:r>
    </w:p>
    <w:p w14:paraId="6BABFBE3" w14:textId="5F7AC1B4" w:rsidR="00E13588" w:rsidRDefault="00E13588" w:rsidP="00E13588">
      <w:pPr>
        <w:pStyle w:val="ListParagraph"/>
        <w:numPr>
          <w:ilvl w:val="0"/>
          <w:numId w:val="4"/>
        </w:numPr>
      </w:pPr>
      <w:r>
        <w:t>The expertise to identify specific needs and appropriate provision and ensure the implementation of appropriate interventions.</w:t>
      </w:r>
    </w:p>
    <w:p w14:paraId="492879E6" w14:textId="5E988E00" w:rsidR="00A67098" w:rsidRPr="00BB55C2" w:rsidRDefault="00A67098" w:rsidP="00E13588">
      <w:pPr>
        <w:pStyle w:val="ListParagraph"/>
        <w:numPr>
          <w:ilvl w:val="0"/>
          <w:numId w:val="4"/>
        </w:numPr>
      </w:pPr>
      <w:r>
        <w:t xml:space="preserve">Staff with appropriate training including a specialist trained teacher to lead the provision. </w:t>
      </w:r>
    </w:p>
    <w:p w14:paraId="40B496FA" w14:textId="3A3A9AB2" w:rsidR="00B83DBB" w:rsidRDefault="00B83DBB">
      <w:r>
        <w:rPr>
          <w:b/>
          <w:bCs/>
        </w:rPr>
        <w:t>Place numbers</w:t>
      </w:r>
    </w:p>
    <w:p w14:paraId="37C44228" w14:textId="6E404FEC" w:rsidR="00B83DBB" w:rsidRDefault="00B83DBB">
      <w:r>
        <w:t xml:space="preserve">Each provider will </w:t>
      </w:r>
      <w:r w:rsidR="0051421B">
        <w:t xml:space="preserve">agree </w:t>
      </w:r>
      <w:r w:rsidR="00EC71E4">
        <w:t>planned</w:t>
      </w:r>
      <w:r w:rsidR="0051421B">
        <w:t xml:space="preserve"> place numbers with the local authority. The LA will ensure that there is work with providers to manage demand and need</w:t>
      </w:r>
      <w:r w:rsidR="00D37668">
        <w:t xml:space="preserve"> in line with numbers, whilst recognising that where children have EHC Plans decisions must be made in line with statutory decision-making processes</w:t>
      </w:r>
      <w:r w:rsidR="00EC71E4">
        <w:t>. This means that</w:t>
      </w:r>
      <w:r w:rsidR="00D37668">
        <w:t xml:space="preserve"> providers may have children placed over planned numbers</w:t>
      </w:r>
      <w:r w:rsidR="00EC71E4">
        <w:t xml:space="preserve"> for whom they will continue to receive </w:t>
      </w:r>
      <w:r w:rsidR="00945EE0">
        <w:t>the agreed funding</w:t>
      </w:r>
      <w:r w:rsidR="00D37668">
        <w:t>.</w:t>
      </w:r>
    </w:p>
    <w:p w14:paraId="5600B0EC" w14:textId="1A6FD713" w:rsidR="00187DFA" w:rsidRPr="00B83DBB" w:rsidRDefault="00187DFA">
      <w:r>
        <w:t>Children placed on the commissioned number of EYRP will only be done by the LA</w:t>
      </w:r>
      <w:r w:rsidR="00912A8D">
        <w:t>. Whilst the providers may have other children with EHC Plans, they would only be allocated to the EYRP following the agreed consultation and panel process.</w:t>
      </w:r>
    </w:p>
    <w:p w14:paraId="33C146D4" w14:textId="7AAC57E3" w:rsidR="00491D60" w:rsidRPr="00B83DBB" w:rsidRDefault="00491D60">
      <w:pPr>
        <w:rPr>
          <w:b/>
          <w:bCs/>
        </w:rPr>
      </w:pPr>
      <w:r w:rsidRPr="00B83DBB">
        <w:rPr>
          <w:b/>
          <w:bCs/>
        </w:rPr>
        <w:t>Quality Assurance</w:t>
      </w:r>
    </w:p>
    <w:p w14:paraId="6A1EF765" w14:textId="093AE70B" w:rsidR="00491D60" w:rsidRDefault="00491D60">
      <w:r>
        <w:t>The local authority has a process of quality assurance for all resource provision</w:t>
      </w:r>
      <w:r w:rsidR="008522A3">
        <w:t>. Early years resource provision will also be supported through this quality assurance process. The settings will also be able to access local authority networks of support for resource provision.</w:t>
      </w:r>
    </w:p>
    <w:p w14:paraId="462FBACC" w14:textId="5F5AA6E3" w:rsidR="00BB55C2" w:rsidRPr="00B83DBB" w:rsidRDefault="00491D60">
      <w:pPr>
        <w:rPr>
          <w:b/>
          <w:bCs/>
        </w:rPr>
      </w:pPr>
      <w:r w:rsidRPr="00B83DBB">
        <w:rPr>
          <w:b/>
          <w:bCs/>
        </w:rPr>
        <w:t>Service level agreement</w:t>
      </w:r>
    </w:p>
    <w:p w14:paraId="5F91C7A1" w14:textId="4D8F91D9" w:rsidR="00491D60" w:rsidRDefault="00491D60">
      <w:r>
        <w:t>The local authority will create a service level agreement outlining the expectations of the commissioned provision to ensure consistency and clarity about the provision in place.</w:t>
      </w:r>
    </w:p>
    <w:p w14:paraId="4C5834C1" w14:textId="34344263" w:rsidR="00FC1225" w:rsidRDefault="005B6247">
      <w:r>
        <w:rPr>
          <w:b/>
          <w:bCs/>
        </w:rPr>
        <w:t>Supporting documentation</w:t>
      </w:r>
    </w:p>
    <w:p w14:paraId="5D94B0EC" w14:textId="2DC75100" w:rsidR="005B6247" w:rsidRDefault="005B6247" w:rsidP="005B6247">
      <w:pPr>
        <w:pStyle w:val="ListParagraph"/>
        <w:numPr>
          <w:ilvl w:val="0"/>
          <w:numId w:val="5"/>
        </w:numPr>
      </w:pPr>
      <w:r>
        <w:t>Early years resource provision process</w:t>
      </w:r>
    </w:p>
    <w:p w14:paraId="5EC6B2DD" w14:textId="60FF542C" w:rsidR="005B6247" w:rsidRDefault="00575688" w:rsidP="005B6247">
      <w:pPr>
        <w:pStyle w:val="ListParagraph"/>
        <w:numPr>
          <w:ilvl w:val="0"/>
          <w:numId w:val="5"/>
        </w:numPr>
      </w:pPr>
      <w:r>
        <w:t>Risk assessment template</w:t>
      </w:r>
    </w:p>
    <w:p w14:paraId="2E4DB9F9" w14:textId="6E4C7D65" w:rsidR="00575688" w:rsidRDefault="00575688" w:rsidP="005B6247">
      <w:pPr>
        <w:pStyle w:val="ListParagraph"/>
        <w:numPr>
          <w:ilvl w:val="0"/>
          <w:numId w:val="5"/>
        </w:numPr>
      </w:pPr>
      <w:r>
        <w:t>Guidance on appropriate placements</w:t>
      </w:r>
    </w:p>
    <w:p w14:paraId="03AB83B3" w14:textId="5BC40AE0" w:rsidR="00DB7630" w:rsidRPr="005B6247" w:rsidRDefault="00DB7630" w:rsidP="005B6247">
      <w:pPr>
        <w:pStyle w:val="ListParagraph"/>
        <w:numPr>
          <w:ilvl w:val="0"/>
          <w:numId w:val="5"/>
        </w:numPr>
      </w:pPr>
      <w:r>
        <w:t>LA Led EHC Needs Assessment and LA request for assessment placement documentation</w:t>
      </w:r>
    </w:p>
    <w:p w14:paraId="0D90ED43" w14:textId="3ED2EC54" w:rsidR="00A36D64" w:rsidRDefault="00D95771">
      <w:r>
        <w:t>Ma</w:t>
      </w:r>
      <w:r w:rsidR="00464DE9">
        <w:t>y</w:t>
      </w:r>
      <w:r>
        <w:t xml:space="preserve"> 2026</w:t>
      </w:r>
    </w:p>
    <w:sectPr w:rsidR="00A36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EF0"/>
    <w:multiLevelType w:val="hybridMultilevel"/>
    <w:tmpl w:val="8038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0B6"/>
    <w:multiLevelType w:val="hybridMultilevel"/>
    <w:tmpl w:val="24CC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611B"/>
    <w:multiLevelType w:val="hybridMultilevel"/>
    <w:tmpl w:val="270A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299C"/>
    <w:multiLevelType w:val="hybridMultilevel"/>
    <w:tmpl w:val="13342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793"/>
    <w:multiLevelType w:val="hybridMultilevel"/>
    <w:tmpl w:val="6334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73ED9"/>
    <w:multiLevelType w:val="hybridMultilevel"/>
    <w:tmpl w:val="85E67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3E5CE2"/>
    <w:multiLevelType w:val="hybridMultilevel"/>
    <w:tmpl w:val="161E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2774"/>
    <w:multiLevelType w:val="hybridMultilevel"/>
    <w:tmpl w:val="1DF2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A4B67"/>
    <w:multiLevelType w:val="hybridMultilevel"/>
    <w:tmpl w:val="E054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2FE7"/>
    <w:multiLevelType w:val="multilevel"/>
    <w:tmpl w:val="D4D2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172684"/>
    <w:multiLevelType w:val="hybridMultilevel"/>
    <w:tmpl w:val="F73C7856"/>
    <w:lvl w:ilvl="0" w:tplc="8A9895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21930"/>
    <w:multiLevelType w:val="hybridMultilevel"/>
    <w:tmpl w:val="010EC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C6C40"/>
    <w:multiLevelType w:val="multilevel"/>
    <w:tmpl w:val="E1B6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5905BD"/>
    <w:multiLevelType w:val="hybridMultilevel"/>
    <w:tmpl w:val="C89C7C1C"/>
    <w:lvl w:ilvl="0" w:tplc="85CED88A">
      <w:numFmt w:val="bullet"/>
      <w:lvlText w:val="–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7E486D89"/>
    <w:multiLevelType w:val="multilevel"/>
    <w:tmpl w:val="E1B6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9705269">
    <w:abstractNumId w:val="14"/>
  </w:num>
  <w:num w:numId="2" w16cid:durableId="1592852663">
    <w:abstractNumId w:val="9"/>
  </w:num>
  <w:num w:numId="3" w16cid:durableId="2035617717">
    <w:abstractNumId w:val="10"/>
  </w:num>
  <w:num w:numId="4" w16cid:durableId="1500124031">
    <w:abstractNumId w:val="7"/>
  </w:num>
  <w:num w:numId="5" w16cid:durableId="4787904">
    <w:abstractNumId w:val="0"/>
  </w:num>
  <w:num w:numId="6" w16cid:durableId="796410321">
    <w:abstractNumId w:val="5"/>
  </w:num>
  <w:num w:numId="7" w16cid:durableId="2140874142">
    <w:abstractNumId w:val="12"/>
  </w:num>
  <w:num w:numId="8" w16cid:durableId="319698244">
    <w:abstractNumId w:val="13"/>
  </w:num>
  <w:num w:numId="9" w16cid:durableId="252861833">
    <w:abstractNumId w:val="8"/>
  </w:num>
  <w:num w:numId="10" w16cid:durableId="767232751">
    <w:abstractNumId w:val="11"/>
  </w:num>
  <w:num w:numId="11" w16cid:durableId="678894733">
    <w:abstractNumId w:val="3"/>
  </w:num>
  <w:num w:numId="12" w16cid:durableId="551772256">
    <w:abstractNumId w:val="1"/>
  </w:num>
  <w:num w:numId="13" w16cid:durableId="1332370544">
    <w:abstractNumId w:val="2"/>
  </w:num>
  <w:num w:numId="14" w16cid:durableId="968979227">
    <w:abstractNumId w:val="6"/>
  </w:num>
  <w:num w:numId="15" w16cid:durableId="96712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C2"/>
    <w:rsid w:val="00015418"/>
    <w:rsid w:val="00035A34"/>
    <w:rsid w:val="00041E95"/>
    <w:rsid w:val="000605D9"/>
    <w:rsid w:val="00060614"/>
    <w:rsid w:val="00072542"/>
    <w:rsid w:val="000739D1"/>
    <w:rsid w:val="00097813"/>
    <w:rsid w:val="000B2C00"/>
    <w:rsid w:val="000B447B"/>
    <w:rsid w:val="000E6B82"/>
    <w:rsid w:val="001116BE"/>
    <w:rsid w:val="00111A0A"/>
    <w:rsid w:val="00117884"/>
    <w:rsid w:val="001221F4"/>
    <w:rsid w:val="001714B3"/>
    <w:rsid w:val="00177EB0"/>
    <w:rsid w:val="001848E3"/>
    <w:rsid w:val="00187DFA"/>
    <w:rsid w:val="001A67A4"/>
    <w:rsid w:val="001B6BF9"/>
    <w:rsid w:val="001C68B0"/>
    <w:rsid w:val="00207F92"/>
    <w:rsid w:val="00226A2C"/>
    <w:rsid w:val="00242D0A"/>
    <w:rsid w:val="002773E5"/>
    <w:rsid w:val="00285E4E"/>
    <w:rsid w:val="002B7243"/>
    <w:rsid w:val="002D612A"/>
    <w:rsid w:val="003103A2"/>
    <w:rsid w:val="00325F85"/>
    <w:rsid w:val="00344882"/>
    <w:rsid w:val="003648B1"/>
    <w:rsid w:val="003928D7"/>
    <w:rsid w:val="003C502A"/>
    <w:rsid w:val="003D3B81"/>
    <w:rsid w:val="003E3E33"/>
    <w:rsid w:val="003E6DB4"/>
    <w:rsid w:val="004271EF"/>
    <w:rsid w:val="00435AD1"/>
    <w:rsid w:val="0044410D"/>
    <w:rsid w:val="00464DE9"/>
    <w:rsid w:val="00491D60"/>
    <w:rsid w:val="004C5D92"/>
    <w:rsid w:val="004C7E15"/>
    <w:rsid w:val="0051421B"/>
    <w:rsid w:val="005176E0"/>
    <w:rsid w:val="005407BB"/>
    <w:rsid w:val="00544829"/>
    <w:rsid w:val="00574797"/>
    <w:rsid w:val="00575688"/>
    <w:rsid w:val="00586A0D"/>
    <w:rsid w:val="005B6247"/>
    <w:rsid w:val="005D04A8"/>
    <w:rsid w:val="005D20F6"/>
    <w:rsid w:val="005E1E88"/>
    <w:rsid w:val="005F717B"/>
    <w:rsid w:val="00612767"/>
    <w:rsid w:val="00667944"/>
    <w:rsid w:val="006864AE"/>
    <w:rsid w:val="006951FF"/>
    <w:rsid w:val="006B4356"/>
    <w:rsid w:val="006F16A3"/>
    <w:rsid w:val="007139E7"/>
    <w:rsid w:val="0078531C"/>
    <w:rsid w:val="007A00B4"/>
    <w:rsid w:val="007A6FE7"/>
    <w:rsid w:val="007B5C2E"/>
    <w:rsid w:val="007D737C"/>
    <w:rsid w:val="007E0135"/>
    <w:rsid w:val="00803059"/>
    <w:rsid w:val="00813E32"/>
    <w:rsid w:val="00842F38"/>
    <w:rsid w:val="008522A3"/>
    <w:rsid w:val="008524E2"/>
    <w:rsid w:val="008672DB"/>
    <w:rsid w:val="008A4BFB"/>
    <w:rsid w:val="008B06E7"/>
    <w:rsid w:val="008B2435"/>
    <w:rsid w:val="008D1B5E"/>
    <w:rsid w:val="00912A8D"/>
    <w:rsid w:val="0091331B"/>
    <w:rsid w:val="0093521E"/>
    <w:rsid w:val="00937A89"/>
    <w:rsid w:val="00943653"/>
    <w:rsid w:val="00945EE0"/>
    <w:rsid w:val="00954260"/>
    <w:rsid w:val="009607E4"/>
    <w:rsid w:val="00964C86"/>
    <w:rsid w:val="009C227D"/>
    <w:rsid w:val="009C23EC"/>
    <w:rsid w:val="009E2933"/>
    <w:rsid w:val="009E43B2"/>
    <w:rsid w:val="009E4EA1"/>
    <w:rsid w:val="00A24D57"/>
    <w:rsid w:val="00A36D64"/>
    <w:rsid w:val="00A67098"/>
    <w:rsid w:val="00A921DE"/>
    <w:rsid w:val="00AB72E3"/>
    <w:rsid w:val="00B257F5"/>
    <w:rsid w:val="00B27AF9"/>
    <w:rsid w:val="00B3131B"/>
    <w:rsid w:val="00B40A90"/>
    <w:rsid w:val="00B64D87"/>
    <w:rsid w:val="00B805C5"/>
    <w:rsid w:val="00B83DBB"/>
    <w:rsid w:val="00B93758"/>
    <w:rsid w:val="00B93F9C"/>
    <w:rsid w:val="00B94814"/>
    <w:rsid w:val="00B9627E"/>
    <w:rsid w:val="00BB55C2"/>
    <w:rsid w:val="00BD3222"/>
    <w:rsid w:val="00C157DD"/>
    <w:rsid w:val="00C343CF"/>
    <w:rsid w:val="00C34641"/>
    <w:rsid w:val="00C70BC3"/>
    <w:rsid w:val="00C86FD6"/>
    <w:rsid w:val="00CA20B4"/>
    <w:rsid w:val="00CA2514"/>
    <w:rsid w:val="00CA2B4B"/>
    <w:rsid w:val="00CC0864"/>
    <w:rsid w:val="00CC5FFC"/>
    <w:rsid w:val="00D0289A"/>
    <w:rsid w:val="00D33904"/>
    <w:rsid w:val="00D37668"/>
    <w:rsid w:val="00D5053D"/>
    <w:rsid w:val="00D847FB"/>
    <w:rsid w:val="00D84A9E"/>
    <w:rsid w:val="00D94365"/>
    <w:rsid w:val="00D95771"/>
    <w:rsid w:val="00DA4E26"/>
    <w:rsid w:val="00DB7630"/>
    <w:rsid w:val="00DC3E36"/>
    <w:rsid w:val="00DC6A68"/>
    <w:rsid w:val="00DD6B69"/>
    <w:rsid w:val="00DF0A92"/>
    <w:rsid w:val="00DF2364"/>
    <w:rsid w:val="00E13588"/>
    <w:rsid w:val="00E248F1"/>
    <w:rsid w:val="00E46B34"/>
    <w:rsid w:val="00E603DF"/>
    <w:rsid w:val="00E66E69"/>
    <w:rsid w:val="00E83F9E"/>
    <w:rsid w:val="00EA04E7"/>
    <w:rsid w:val="00EB0FBE"/>
    <w:rsid w:val="00EC71E4"/>
    <w:rsid w:val="00EE27F2"/>
    <w:rsid w:val="00F16495"/>
    <w:rsid w:val="00F235B6"/>
    <w:rsid w:val="00F241C7"/>
    <w:rsid w:val="00F45188"/>
    <w:rsid w:val="00F54059"/>
    <w:rsid w:val="00F72412"/>
    <w:rsid w:val="00F76DDC"/>
    <w:rsid w:val="00F84D0D"/>
    <w:rsid w:val="00FA63E7"/>
    <w:rsid w:val="00FC1225"/>
    <w:rsid w:val="00FD3888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9D74"/>
  <w15:chartTrackingRefBased/>
  <w15:docId w15:val="{2400AE93-E9E5-4106-8989-6BC38EA4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Armstrong</dc:creator>
  <cp:keywords/>
  <dc:description/>
  <cp:lastModifiedBy>Tim Armstrong</cp:lastModifiedBy>
  <cp:revision>126</cp:revision>
  <dcterms:created xsi:type="dcterms:W3CDTF">2026-03-03T01:47:00Z</dcterms:created>
  <dcterms:modified xsi:type="dcterms:W3CDTF">2026-05-19T16:06:00Z</dcterms:modified>
</cp:coreProperties>
</file>