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536"/>
        <w:tblW w:w="0" w:type="auto"/>
        <w:tblLook w:val="04A0" w:firstRow="1" w:lastRow="0" w:firstColumn="1" w:lastColumn="0" w:noHBand="0" w:noVBand="1"/>
      </w:tblPr>
      <w:tblGrid>
        <w:gridCol w:w="7402"/>
        <w:gridCol w:w="1732"/>
      </w:tblGrid>
      <w:tr w:rsidR="007D331F" w:rsidRPr="00BB058E" w:rsidTr="007D331F">
        <w:tc>
          <w:tcPr>
            <w:tcW w:w="7402" w:type="dxa"/>
            <w:shd w:val="clear" w:color="auto" w:fill="BFBFBF" w:themeFill="background1" w:themeFillShade="BF"/>
          </w:tcPr>
          <w:p w:rsidR="007D331F" w:rsidRPr="00012B37" w:rsidRDefault="007D331F" w:rsidP="007D331F">
            <w:pPr>
              <w:pStyle w:val="NoSpacing"/>
              <w:rPr>
                <w:rStyle w:val="fontstyle01"/>
                <w:rFonts w:ascii="Arial" w:hAnsi="Arial"/>
                <w:b/>
              </w:rPr>
            </w:pPr>
            <w:bookmarkStart w:id="0" w:name="_GoBack"/>
            <w:bookmarkEnd w:id="0"/>
            <w:r w:rsidRPr="00012B37">
              <w:rPr>
                <w:rStyle w:val="fontstyle01"/>
                <w:rFonts w:ascii="Arial" w:hAnsi="Arial"/>
                <w:b/>
              </w:rPr>
              <w:t>Actions</w:t>
            </w:r>
          </w:p>
        </w:tc>
        <w:tc>
          <w:tcPr>
            <w:tcW w:w="1732" w:type="dxa"/>
            <w:shd w:val="clear" w:color="auto" w:fill="BFBFBF" w:themeFill="background1" w:themeFillShade="BF"/>
          </w:tcPr>
          <w:p w:rsidR="007D331F" w:rsidRPr="00012B37" w:rsidRDefault="007D331F" w:rsidP="007D331F">
            <w:pPr>
              <w:pStyle w:val="NoSpacing"/>
              <w:rPr>
                <w:rStyle w:val="fontstyle01"/>
                <w:rFonts w:ascii="Arial" w:hAnsi="Arial"/>
                <w:b/>
              </w:rPr>
            </w:pPr>
            <w:r w:rsidRPr="00012B37">
              <w:rPr>
                <w:rStyle w:val="fontstyle01"/>
                <w:rFonts w:ascii="Arial" w:hAnsi="Arial"/>
                <w:b/>
              </w:rPr>
              <w:t>Yes/no</w:t>
            </w:r>
          </w:p>
        </w:tc>
      </w:tr>
      <w:tr w:rsidR="007D331F" w:rsidRPr="00BB058E" w:rsidTr="007D331F">
        <w:tc>
          <w:tcPr>
            <w:tcW w:w="7402" w:type="dxa"/>
          </w:tcPr>
          <w:p w:rsidR="007D331F" w:rsidRDefault="007D331F" w:rsidP="007D331F">
            <w:pPr>
              <w:pStyle w:val="Bulletsspaced"/>
              <w:numPr>
                <w:ilvl w:val="0"/>
                <w:numId w:val="0"/>
              </w:numPr>
              <w:ind w:left="567"/>
              <w:rPr>
                <w:rFonts w:ascii="Arial" w:hAnsi="Arial" w:cs="Arial"/>
                <w:color w:val="auto"/>
                <w:lang w:eastAsia="en-GB"/>
              </w:rPr>
            </w:pPr>
            <w:r>
              <w:rPr>
                <w:rFonts w:ascii="Arial" w:hAnsi="Arial" w:cs="Arial"/>
                <w:color w:val="auto"/>
                <w:lang w:eastAsia="en-GB"/>
              </w:rPr>
              <w:t>Visit</w:t>
            </w:r>
            <w:r w:rsidRPr="00BB058E">
              <w:rPr>
                <w:rFonts w:ascii="Arial" w:hAnsi="Arial" w:cs="Arial"/>
                <w:color w:val="auto"/>
                <w:lang w:eastAsia="en-GB"/>
              </w:rPr>
              <w:t xml:space="preserve"> the alternative provision site before the pupil attends</w:t>
            </w:r>
            <w:r>
              <w:rPr>
                <w:rFonts w:ascii="Arial" w:hAnsi="Arial" w:cs="Arial"/>
                <w:color w:val="auto"/>
                <w:lang w:eastAsia="en-GB"/>
              </w:rPr>
              <w:t xml:space="preserve"> and check:</w:t>
            </w:r>
          </w:p>
          <w:p w:rsidR="007D331F" w:rsidRPr="00893A14" w:rsidRDefault="007D331F" w:rsidP="007D331F">
            <w:pPr>
              <w:pStyle w:val="Bulletsspaced"/>
              <w:numPr>
                <w:ilvl w:val="0"/>
                <w:numId w:val="0"/>
              </w:numPr>
              <w:ind w:left="567"/>
              <w:rPr>
                <w:rFonts w:ascii="Arial" w:hAnsi="Arial" w:cs="Arial"/>
              </w:rPr>
            </w:pPr>
            <w:r w:rsidRPr="00893A14">
              <w:rPr>
                <w:rFonts w:ascii="Arial" w:hAnsi="Arial" w:cs="Arial"/>
              </w:rPr>
              <w:t>An up to date Health and Safety policy is in place and accessible to all staff, young people, parents/carers and visitors. There is a designated person trained to IOSH standard who is held ultimately responsible for health and safety.</w:t>
            </w:r>
          </w:p>
          <w:p w:rsidR="007D331F" w:rsidRDefault="007D331F" w:rsidP="007D331F">
            <w:pPr>
              <w:pStyle w:val="Bulletsspaced"/>
              <w:numPr>
                <w:ilvl w:val="0"/>
                <w:numId w:val="0"/>
              </w:numPr>
              <w:ind w:left="567"/>
              <w:rPr>
                <w:rFonts w:ascii="Arial" w:hAnsi="Arial" w:cs="Arial"/>
              </w:rPr>
            </w:pPr>
            <w:r w:rsidRPr="00893A14">
              <w:rPr>
                <w:rFonts w:ascii="Arial" w:hAnsi="Arial" w:cs="Arial"/>
              </w:rPr>
              <w:t xml:space="preserve">Robust risk assessments have been carried out to identify significant risks on site and for off-site visits, transport </w:t>
            </w:r>
            <w:proofErr w:type="spellStart"/>
            <w:r w:rsidRPr="00893A14">
              <w:rPr>
                <w:rFonts w:ascii="Arial" w:hAnsi="Arial" w:cs="Arial"/>
              </w:rPr>
              <w:t>etc</w:t>
            </w:r>
            <w:proofErr w:type="spellEnd"/>
            <w:r w:rsidRPr="00893A14">
              <w:rPr>
                <w:rFonts w:ascii="Arial" w:hAnsi="Arial" w:cs="Arial"/>
              </w:rPr>
              <w:t xml:space="preserve"> (including risks to children, young people and adults)</w:t>
            </w:r>
          </w:p>
          <w:p w:rsidR="007D331F" w:rsidRDefault="007D331F" w:rsidP="007D331F">
            <w:pPr>
              <w:pStyle w:val="Bulletsspaced"/>
              <w:numPr>
                <w:ilvl w:val="0"/>
                <w:numId w:val="0"/>
              </w:numPr>
              <w:ind w:left="567"/>
              <w:rPr>
                <w:rFonts w:ascii="Arial" w:hAnsi="Arial" w:cs="Arial"/>
              </w:rPr>
            </w:pPr>
            <w:r w:rsidRPr="00893A14">
              <w:rPr>
                <w:rFonts w:ascii="Arial" w:hAnsi="Arial" w:cs="Arial"/>
              </w:rPr>
              <w:t xml:space="preserve">Fire drills take place regularly, at least once a term. </w:t>
            </w:r>
          </w:p>
          <w:p w:rsidR="007D331F" w:rsidRPr="00D16C94" w:rsidRDefault="007D331F" w:rsidP="007D331F">
            <w:pPr>
              <w:pStyle w:val="Bulletsspaced"/>
              <w:numPr>
                <w:ilvl w:val="0"/>
                <w:numId w:val="0"/>
              </w:numPr>
              <w:ind w:left="567"/>
              <w:rPr>
                <w:rFonts w:ascii="Arial" w:hAnsi="Arial" w:cs="Arial"/>
              </w:rPr>
            </w:pPr>
            <w:r w:rsidRPr="00D16C94">
              <w:rPr>
                <w:rFonts w:ascii="Arial" w:hAnsi="Arial" w:cs="Arial"/>
              </w:rPr>
              <w:t>Appropriate lock-down procedures are in place and drills take place at least termly.</w:t>
            </w:r>
          </w:p>
          <w:p w:rsidR="007D331F" w:rsidRPr="00D16C94" w:rsidRDefault="007D331F" w:rsidP="007D331F">
            <w:pPr>
              <w:pStyle w:val="Bulletsspaced"/>
              <w:numPr>
                <w:ilvl w:val="0"/>
                <w:numId w:val="0"/>
              </w:numPr>
              <w:ind w:left="567"/>
              <w:rPr>
                <w:rFonts w:ascii="Arial" w:hAnsi="Arial" w:cs="Arial"/>
              </w:rPr>
            </w:pPr>
            <w:r w:rsidRPr="00D16C94">
              <w:rPr>
                <w:rFonts w:ascii="Arial" w:hAnsi="Arial" w:cs="Arial"/>
              </w:rPr>
              <w:t>Public liability insurance policy is current and the insurance certificate is displayed.</w:t>
            </w:r>
          </w:p>
          <w:p w:rsidR="007D331F" w:rsidRPr="00D16C94" w:rsidRDefault="007D331F" w:rsidP="007D331F">
            <w:pPr>
              <w:pStyle w:val="Bulletsspaced"/>
              <w:numPr>
                <w:ilvl w:val="0"/>
                <w:numId w:val="0"/>
              </w:numPr>
              <w:ind w:left="567"/>
              <w:rPr>
                <w:rFonts w:ascii="Arial" w:hAnsi="Arial" w:cs="Arial"/>
              </w:rPr>
            </w:pPr>
            <w:r w:rsidRPr="00D16C94">
              <w:rPr>
                <w:rFonts w:ascii="Arial" w:hAnsi="Arial" w:cs="Arial"/>
              </w:rPr>
              <w:t>First aid equipment and/or facilities are readily available.</w:t>
            </w:r>
          </w:p>
          <w:p w:rsidR="007D331F" w:rsidRPr="00D16C94" w:rsidRDefault="007D331F" w:rsidP="007D331F">
            <w:pPr>
              <w:pStyle w:val="Bulletsspaced"/>
              <w:numPr>
                <w:ilvl w:val="0"/>
                <w:numId w:val="0"/>
              </w:numPr>
              <w:ind w:left="567"/>
              <w:rPr>
                <w:rFonts w:ascii="Arial" w:hAnsi="Arial" w:cs="Arial"/>
              </w:rPr>
            </w:pPr>
            <w:r w:rsidRPr="00D16C94">
              <w:rPr>
                <w:rFonts w:ascii="Arial" w:hAnsi="Arial" w:cs="Arial"/>
              </w:rPr>
              <w:t xml:space="preserve">Is the organisation familiar with RIDDOR procedures? (Reporting of Injuries, Diseases and Dangerous Occurrences Regulations 1995) www.hse.gov.uk </w:t>
            </w:r>
          </w:p>
          <w:p w:rsidR="007D331F" w:rsidRDefault="007D331F" w:rsidP="007D331F">
            <w:pPr>
              <w:pStyle w:val="Bulletsspaced"/>
              <w:numPr>
                <w:ilvl w:val="0"/>
                <w:numId w:val="0"/>
              </w:numPr>
              <w:ind w:left="567"/>
              <w:rPr>
                <w:rFonts w:ascii="Arial" w:hAnsi="Arial" w:cs="Arial"/>
              </w:rPr>
            </w:pPr>
            <w:r w:rsidRPr="00D16C94">
              <w:rPr>
                <w:rFonts w:ascii="Arial" w:hAnsi="Arial" w:cs="Arial"/>
              </w:rPr>
              <w:t>How will the employer convey revised control measures to young people if a RIDDOR event occurs whilst they are on the premises?</w:t>
            </w:r>
          </w:p>
          <w:p w:rsidR="007D331F" w:rsidRPr="00D16C94" w:rsidRDefault="007D331F" w:rsidP="007D331F">
            <w:pPr>
              <w:pStyle w:val="Bulletsspaced"/>
              <w:numPr>
                <w:ilvl w:val="0"/>
                <w:numId w:val="0"/>
              </w:numPr>
              <w:ind w:left="567"/>
              <w:rPr>
                <w:rFonts w:ascii="Arial" w:hAnsi="Arial" w:cs="Arial"/>
              </w:rPr>
            </w:pPr>
            <w:r w:rsidRPr="00D16C94">
              <w:rPr>
                <w:rFonts w:ascii="Arial" w:hAnsi="Arial" w:cs="Arial"/>
              </w:rPr>
              <w:t>Children and young people are appropriately supervised at all times.</w:t>
            </w:r>
          </w:p>
          <w:p w:rsidR="007D331F" w:rsidRPr="00D16C94" w:rsidRDefault="007D331F" w:rsidP="007D331F">
            <w:pPr>
              <w:pStyle w:val="Bulletsspaced"/>
              <w:numPr>
                <w:ilvl w:val="0"/>
                <w:numId w:val="0"/>
              </w:numPr>
              <w:ind w:left="567"/>
              <w:rPr>
                <w:rFonts w:ascii="Arial" w:hAnsi="Arial" w:cs="Arial"/>
              </w:rPr>
            </w:pPr>
            <w:r w:rsidRPr="00D16C94">
              <w:rPr>
                <w:rFonts w:ascii="Arial" w:hAnsi="Arial" w:cs="Arial"/>
              </w:rPr>
              <w:t>All staff aware of the advice given from the Health and Safety Executive about lone working.</w:t>
            </w:r>
          </w:p>
          <w:p w:rsidR="007D331F" w:rsidRDefault="007D331F" w:rsidP="007D331F">
            <w:pPr>
              <w:pStyle w:val="Bulletsspaced"/>
              <w:numPr>
                <w:ilvl w:val="0"/>
                <w:numId w:val="0"/>
              </w:numPr>
              <w:ind w:left="567"/>
              <w:rPr>
                <w:rFonts w:ascii="Arial" w:hAnsi="Arial" w:cs="Arial"/>
              </w:rPr>
            </w:pPr>
            <w:r w:rsidRPr="00D16C94">
              <w:rPr>
                <w:rFonts w:ascii="Arial" w:hAnsi="Arial" w:cs="Arial"/>
              </w:rPr>
              <w:t>Administration of medicines policy and procedures are in place</w:t>
            </w:r>
          </w:p>
          <w:p w:rsidR="007D331F" w:rsidRPr="001F20AB" w:rsidRDefault="007D331F" w:rsidP="007D331F">
            <w:pPr>
              <w:pStyle w:val="Bulletsspaced"/>
              <w:numPr>
                <w:ilvl w:val="0"/>
                <w:numId w:val="0"/>
              </w:numPr>
              <w:ind w:left="567"/>
              <w:rPr>
                <w:rFonts w:ascii="Arial" w:hAnsi="Arial" w:cs="Arial"/>
                <w:color w:val="auto"/>
                <w:lang w:eastAsia="en-GB"/>
              </w:rPr>
            </w:pPr>
            <w:r w:rsidRPr="001F20AB">
              <w:rPr>
                <w:rFonts w:ascii="Arial" w:hAnsi="Arial" w:cs="Arial"/>
              </w:rPr>
              <w:t>Systems in place between provider and ‘home’ school (and with pupils, parents and carers) for the sharing, reporting and celebrating of student success, personal progress and skill development.</w:t>
            </w:r>
          </w:p>
        </w:tc>
        <w:tc>
          <w:tcPr>
            <w:tcW w:w="1732" w:type="dxa"/>
          </w:tcPr>
          <w:p w:rsidR="007D331F" w:rsidRPr="00BB058E" w:rsidRDefault="007D331F" w:rsidP="007D331F">
            <w:pPr>
              <w:pStyle w:val="Bulletsspaced"/>
              <w:numPr>
                <w:ilvl w:val="0"/>
                <w:numId w:val="0"/>
              </w:numPr>
              <w:ind w:left="567"/>
              <w:rPr>
                <w:rFonts w:ascii="Arial" w:hAnsi="Arial" w:cs="Arial"/>
                <w:color w:val="auto"/>
                <w:lang w:eastAsia="en-GB"/>
              </w:rPr>
            </w:pPr>
          </w:p>
        </w:tc>
      </w:tr>
      <w:tr w:rsidR="007D331F" w:rsidRPr="00BB058E" w:rsidTr="007D331F">
        <w:tc>
          <w:tcPr>
            <w:tcW w:w="7402" w:type="dxa"/>
          </w:tcPr>
          <w:p w:rsidR="007D331F" w:rsidRPr="00BB058E" w:rsidRDefault="007D331F" w:rsidP="007D331F">
            <w:pPr>
              <w:pStyle w:val="Bulletsspaced"/>
              <w:numPr>
                <w:ilvl w:val="0"/>
                <w:numId w:val="0"/>
              </w:numPr>
              <w:ind w:left="567"/>
              <w:rPr>
                <w:rFonts w:ascii="Arial" w:hAnsi="Arial" w:cs="Arial"/>
                <w:color w:val="auto"/>
              </w:rPr>
            </w:pPr>
            <w:r w:rsidRPr="00BB058E">
              <w:rPr>
                <w:rFonts w:ascii="Arial" w:hAnsi="Arial" w:cs="Arial"/>
                <w:color w:val="auto"/>
                <w:lang w:eastAsia="en-GB"/>
              </w:rPr>
              <w:t xml:space="preserve">Check carefully the registration status of each provider they use and check </w:t>
            </w:r>
            <w:r w:rsidRPr="00BB058E">
              <w:rPr>
                <w:rFonts w:ascii="Arial" w:hAnsi="Arial" w:cs="Arial"/>
                <w:color w:val="auto"/>
              </w:rPr>
              <w:t>whether they should be registered if they are not.</w:t>
            </w:r>
          </w:p>
        </w:tc>
        <w:tc>
          <w:tcPr>
            <w:tcW w:w="1732" w:type="dxa"/>
          </w:tcPr>
          <w:p w:rsidR="007D331F" w:rsidRPr="00BB058E" w:rsidRDefault="007D331F" w:rsidP="007D331F">
            <w:pPr>
              <w:pStyle w:val="Bulletsspaced"/>
              <w:numPr>
                <w:ilvl w:val="0"/>
                <w:numId w:val="0"/>
              </w:numPr>
              <w:ind w:left="567"/>
              <w:rPr>
                <w:rFonts w:ascii="Arial" w:hAnsi="Arial" w:cs="Arial"/>
                <w:color w:val="auto"/>
                <w:lang w:eastAsia="en-GB"/>
              </w:rPr>
            </w:pPr>
          </w:p>
        </w:tc>
      </w:tr>
      <w:tr w:rsidR="007D331F" w:rsidRPr="00BB058E" w:rsidTr="007D331F">
        <w:tc>
          <w:tcPr>
            <w:tcW w:w="7402" w:type="dxa"/>
          </w:tcPr>
          <w:p w:rsidR="007D331F" w:rsidRPr="00BB058E" w:rsidRDefault="007D331F" w:rsidP="007D331F">
            <w:pPr>
              <w:pStyle w:val="Bulletsspaced"/>
              <w:numPr>
                <w:ilvl w:val="0"/>
                <w:numId w:val="0"/>
              </w:numPr>
              <w:ind w:left="567"/>
              <w:rPr>
                <w:rFonts w:ascii="Arial" w:hAnsi="Arial" w:cs="Arial"/>
                <w:color w:val="auto"/>
              </w:rPr>
            </w:pPr>
            <w:r w:rsidRPr="00BB058E">
              <w:rPr>
                <w:rFonts w:ascii="Arial" w:hAnsi="Arial" w:cs="Arial"/>
                <w:color w:val="auto"/>
              </w:rPr>
              <w:t>Check whether staff at registered alternative provision have had the appropriate checks, for example Disclosure and Barring Service (DBS) checks</w:t>
            </w:r>
            <w:r>
              <w:rPr>
                <w:rFonts w:ascii="Arial" w:hAnsi="Arial" w:cs="Arial"/>
                <w:color w:val="auto"/>
              </w:rPr>
              <w:t xml:space="preserve">, up to date single central record, </w:t>
            </w:r>
            <w:r w:rsidRPr="00893A14">
              <w:rPr>
                <w:rFonts w:ascii="Arial" w:hAnsi="Arial" w:cs="Arial"/>
                <w:color w:val="auto"/>
              </w:rPr>
              <w:t>Volunteers are suitably vetted and</w:t>
            </w:r>
            <w:r>
              <w:rPr>
                <w:rFonts w:ascii="Arial" w:hAnsi="Arial" w:cs="Arial"/>
                <w:color w:val="auto"/>
              </w:rPr>
              <w:t xml:space="preserve"> </w:t>
            </w:r>
            <w:r w:rsidRPr="00893A14">
              <w:rPr>
                <w:rFonts w:ascii="Arial" w:hAnsi="Arial" w:cs="Arial"/>
                <w:color w:val="auto"/>
              </w:rPr>
              <w:t xml:space="preserve">recorded on the </w:t>
            </w:r>
            <w:proofErr w:type="gramStart"/>
            <w:r w:rsidRPr="00893A14">
              <w:rPr>
                <w:rFonts w:ascii="Arial" w:hAnsi="Arial" w:cs="Arial"/>
                <w:color w:val="auto"/>
              </w:rPr>
              <w:lastRenderedPageBreak/>
              <w:t>SCR.</w:t>
            </w:r>
            <w:r w:rsidRPr="00BB058E">
              <w:rPr>
                <w:rFonts w:ascii="Arial" w:hAnsi="Arial" w:cs="Arial"/>
                <w:color w:val="auto"/>
              </w:rPr>
              <w:t>.</w:t>
            </w:r>
            <w:proofErr w:type="gramEnd"/>
          </w:p>
        </w:tc>
        <w:tc>
          <w:tcPr>
            <w:tcW w:w="1732" w:type="dxa"/>
          </w:tcPr>
          <w:p w:rsidR="007D331F" w:rsidRPr="00BB058E" w:rsidRDefault="007D331F" w:rsidP="007D331F">
            <w:pPr>
              <w:pStyle w:val="Bulletsspaced"/>
              <w:numPr>
                <w:ilvl w:val="0"/>
                <w:numId w:val="0"/>
              </w:numPr>
              <w:ind w:left="567"/>
              <w:rPr>
                <w:rFonts w:ascii="Arial" w:hAnsi="Arial" w:cs="Arial"/>
                <w:color w:val="auto"/>
              </w:rPr>
            </w:pPr>
          </w:p>
        </w:tc>
      </w:tr>
      <w:tr w:rsidR="007D331F" w:rsidRPr="00BB058E" w:rsidTr="007D331F">
        <w:tc>
          <w:tcPr>
            <w:tcW w:w="7402" w:type="dxa"/>
          </w:tcPr>
          <w:p w:rsidR="007D331F" w:rsidRPr="00BB058E" w:rsidRDefault="007D331F" w:rsidP="007D331F">
            <w:pPr>
              <w:pStyle w:val="Bulletsspaced"/>
              <w:numPr>
                <w:ilvl w:val="0"/>
                <w:numId w:val="0"/>
              </w:numPr>
              <w:ind w:left="567"/>
              <w:rPr>
                <w:rFonts w:ascii="Arial" w:hAnsi="Arial" w:cs="Arial"/>
                <w:color w:val="auto"/>
              </w:rPr>
            </w:pPr>
            <w:r w:rsidRPr="00BB058E">
              <w:rPr>
                <w:rFonts w:ascii="Arial" w:hAnsi="Arial" w:cs="Arial"/>
                <w:color w:val="auto"/>
              </w:rPr>
              <w:lastRenderedPageBreak/>
              <w:t xml:space="preserve">School have provided information </w:t>
            </w:r>
            <w:r w:rsidRPr="00BB058E">
              <w:rPr>
                <w:rFonts w:ascii="Arial" w:hAnsi="Arial" w:cs="Arial"/>
                <w:b/>
                <w:color w:val="auto"/>
              </w:rPr>
              <w:t xml:space="preserve">in writing </w:t>
            </w:r>
            <w:r w:rsidRPr="00BB058E">
              <w:rPr>
                <w:rFonts w:ascii="Arial" w:hAnsi="Arial" w:cs="Arial"/>
                <w:color w:val="auto"/>
              </w:rPr>
              <w:t>about social networking, the use of social media and e-safety, making the school’s expectations clear.</w:t>
            </w:r>
            <w:r>
              <w:rPr>
                <w:rFonts w:ascii="Arial" w:hAnsi="Arial" w:cs="Arial"/>
                <w:color w:val="auto"/>
              </w:rPr>
              <w:t xml:space="preserve"> </w:t>
            </w:r>
            <w:r>
              <w:t>Anti-bullying policy in place, signed by staff and pupils.</w:t>
            </w:r>
          </w:p>
        </w:tc>
        <w:tc>
          <w:tcPr>
            <w:tcW w:w="1732" w:type="dxa"/>
          </w:tcPr>
          <w:p w:rsidR="007D331F" w:rsidRPr="00BB058E" w:rsidRDefault="007D331F" w:rsidP="007D331F">
            <w:pPr>
              <w:pStyle w:val="Bulletsspaced"/>
              <w:numPr>
                <w:ilvl w:val="0"/>
                <w:numId w:val="0"/>
              </w:numPr>
              <w:ind w:left="567"/>
              <w:rPr>
                <w:rFonts w:ascii="Arial" w:hAnsi="Arial" w:cs="Arial"/>
                <w:color w:val="auto"/>
              </w:rPr>
            </w:pPr>
          </w:p>
        </w:tc>
      </w:tr>
      <w:tr w:rsidR="007D331F" w:rsidRPr="00BB058E" w:rsidTr="007D331F">
        <w:tc>
          <w:tcPr>
            <w:tcW w:w="7402" w:type="dxa"/>
          </w:tcPr>
          <w:p w:rsidR="007D331F" w:rsidRDefault="007D331F" w:rsidP="007D331F">
            <w:pPr>
              <w:pStyle w:val="Bulletsspaced"/>
              <w:numPr>
                <w:ilvl w:val="0"/>
                <w:numId w:val="0"/>
              </w:numPr>
              <w:ind w:left="567"/>
              <w:rPr>
                <w:rFonts w:ascii="Arial" w:hAnsi="Arial" w:cs="Arial"/>
                <w:color w:val="auto"/>
              </w:rPr>
            </w:pPr>
            <w:r w:rsidRPr="00BB058E">
              <w:rPr>
                <w:rFonts w:ascii="Arial" w:hAnsi="Arial" w:cs="Arial"/>
                <w:color w:val="auto"/>
              </w:rPr>
              <w:t xml:space="preserve">School has provided good quality information </w:t>
            </w:r>
            <w:r w:rsidRPr="00BB058E">
              <w:rPr>
                <w:rFonts w:ascii="Arial" w:hAnsi="Arial" w:cs="Arial"/>
                <w:b/>
                <w:color w:val="auto"/>
              </w:rPr>
              <w:t>in writing</w:t>
            </w:r>
            <w:r w:rsidRPr="00BB058E">
              <w:rPr>
                <w:rFonts w:ascii="Arial" w:hAnsi="Arial" w:cs="Arial"/>
                <w:color w:val="auto"/>
              </w:rPr>
              <w:t xml:space="preserve"> about the school’s expectations for child protection and procedures they should follow if they have a concern about a pupil.</w:t>
            </w:r>
            <w:r>
              <w:rPr>
                <w:rFonts w:ascii="Arial" w:hAnsi="Arial" w:cs="Arial"/>
                <w:color w:val="auto"/>
              </w:rPr>
              <w:t xml:space="preserve"> For example check:</w:t>
            </w:r>
          </w:p>
          <w:p w:rsidR="007D331F" w:rsidRDefault="007D331F" w:rsidP="007D331F">
            <w:pPr>
              <w:pStyle w:val="Bulletsspaced"/>
              <w:numPr>
                <w:ilvl w:val="0"/>
                <w:numId w:val="0"/>
              </w:numPr>
              <w:ind w:left="567"/>
            </w:pPr>
            <w:r>
              <w:t xml:space="preserve">Policies are in place and adhered to. </w:t>
            </w:r>
          </w:p>
          <w:p w:rsidR="007D331F" w:rsidRDefault="007D331F" w:rsidP="007D331F">
            <w:pPr>
              <w:pStyle w:val="Bulletsspaced"/>
              <w:numPr>
                <w:ilvl w:val="0"/>
                <w:numId w:val="0"/>
              </w:numPr>
              <w:ind w:left="567"/>
            </w:pPr>
            <w:r>
              <w:t xml:space="preserve">Safeguarding and Child Protection policies are in place and up to date with the most recent statutory guidance, ‘Keeping Children Safe in Education’ (KCSIE). </w:t>
            </w:r>
          </w:p>
          <w:p w:rsidR="007D331F" w:rsidRDefault="007D331F" w:rsidP="007D331F">
            <w:pPr>
              <w:pStyle w:val="Bulletsspaced"/>
              <w:numPr>
                <w:ilvl w:val="0"/>
                <w:numId w:val="0"/>
              </w:numPr>
              <w:ind w:left="567"/>
            </w:pPr>
            <w:r>
              <w:t>Managing allegations policy is in place and up to date.</w:t>
            </w:r>
          </w:p>
          <w:p w:rsidR="007D331F" w:rsidRDefault="007D331F" w:rsidP="007D331F">
            <w:pPr>
              <w:pStyle w:val="Bulletsspaced"/>
              <w:numPr>
                <w:ilvl w:val="0"/>
                <w:numId w:val="0"/>
              </w:numPr>
              <w:ind w:left="567"/>
            </w:pPr>
            <w:r>
              <w:t xml:space="preserve">Safer Recruitment policy is in place and up to date. </w:t>
            </w:r>
          </w:p>
          <w:p w:rsidR="007D331F" w:rsidRDefault="007D331F" w:rsidP="007D331F">
            <w:pPr>
              <w:pStyle w:val="Bulletsspaced"/>
              <w:numPr>
                <w:ilvl w:val="0"/>
                <w:numId w:val="0"/>
              </w:numPr>
              <w:ind w:left="567"/>
            </w:pPr>
            <w:r>
              <w:t>The commissioner and the provider have a shared understanding of safeguarding policies and procedures to be followed. Appropriate training for the designated safeguarding lead (DSL) role is undertaken and updated at least every 2 years. The training must include child protection, neglect and Child Sexual Exploitation. The training requirement also applies to any deputy DSLs.</w:t>
            </w:r>
          </w:p>
          <w:p w:rsidR="007D331F" w:rsidRDefault="007D331F" w:rsidP="007D331F">
            <w:pPr>
              <w:pStyle w:val="Bulletsspaced"/>
              <w:numPr>
                <w:ilvl w:val="0"/>
                <w:numId w:val="0"/>
              </w:numPr>
              <w:ind w:left="567"/>
            </w:pPr>
            <w:r>
              <w:t>In addition to the formal training, the DSL should have opportunities to refresh their knowledge and skills at least annually (as set out in KCSIE).</w:t>
            </w:r>
          </w:p>
          <w:p w:rsidR="007D331F" w:rsidRDefault="007D331F" w:rsidP="007D331F">
            <w:pPr>
              <w:pStyle w:val="Bulletsspaced"/>
              <w:numPr>
                <w:ilvl w:val="0"/>
                <w:numId w:val="0"/>
              </w:numPr>
              <w:ind w:left="567"/>
            </w:pPr>
            <w:r>
              <w:t>The DSL has undertaken Prevent awareness training and shared this with staff.</w:t>
            </w:r>
          </w:p>
          <w:p w:rsidR="007D331F" w:rsidRPr="00BB058E" w:rsidRDefault="007D331F" w:rsidP="007D331F">
            <w:pPr>
              <w:pStyle w:val="Bulletsspaced"/>
              <w:numPr>
                <w:ilvl w:val="0"/>
                <w:numId w:val="0"/>
              </w:numPr>
              <w:ind w:left="567"/>
              <w:rPr>
                <w:rFonts w:ascii="Arial" w:hAnsi="Arial" w:cs="Arial"/>
                <w:color w:val="auto"/>
              </w:rPr>
            </w:pPr>
            <w:r>
              <w:t>All staff that work with children undertake appropriate training and then refresher training at 3 yearly intervals. Within each provision there is an annual update for all staff.</w:t>
            </w:r>
          </w:p>
        </w:tc>
        <w:tc>
          <w:tcPr>
            <w:tcW w:w="1732" w:type="dxa"/>
          </w:tcPr>
          <w:p w:rsidR="007D331F" w:rsidRPr="00BB058E" w:rsidRDefault="007D331F" w:rsidP="007D331F">
            <w:pPr>
              <w:pStyle w:val="Bulletsspaced"/>
              <w:numPr>
                <w:ilvl w:val="0"/>
                <w:numId w:val="0"/>
              </w:numPr>
              <w:ind w:left="567"/>
              <w:rPr>
                <w:rFonts w:ascii="Arial" w:hAnsi="Arial" w:cs="Arial"/>
                <w:color w:val="auto"/>
              </w:rPr>
            </w:pPr>
          </w:p>
        </w:tc>
      </w:tr>
      <w:tr w:rsidR="007D331F" w:rsidRPr="00BB058E" w:rsidTr="007D331F">
        <w:tc>
          <w:tcPr>
            <w:tcW w:w="7402" w:type="dxa"/>
          </w:tcPr>
          <w:p w:rsidR="007D331F" w:rsidRPr="00BB058E" w:rsidRDefault="007D331F" w:rsidP="007D331F">
            <w:pPr>
              <w:pStyle w:val="Bulletsspaced"/>
              <w:numPr>
                <w:ilvl w:val="0"/>
                <w:numId w:val="0"/>
              </w:numPr>
              <w:ind w:left="567"/>
              <w:rPr>
                <w:rFonts w:ascii="Arial" w:hAnsi="Arial" w:cs="Arial"/>
                <w:color w:val="auto"/>
              </w:rPr>
            </w:pPr>
            <w:r w:rsidRPr="00BB058E">
              <w:rPr>
                <w:rFonts w:ascii="Arial" w:hAnsi="Arial" w:cs="Arial"/>
                <w:color w:val="auto"/>
              </w:rPr>
              <w:t>Systematically evaluate the quality of teaching and learning at the alternative provision used, and the impact of this on pupils’ progress towards the qualifications they are studying at their placements</w:t>
            </w:r>
          </w:p>
        </w:tc>
        <w:tc>
          <w:tcPr>
            <w:tcW w:w="1732" w:type="dxa"/>
          </w:tcPr>
          <w:p w:rsidR="007D331F" w:rsidRPr="00BB058E" w:rsidRDefault="007D331F" w:rsidP="007D331F">
            <w:pPr>
              <w:pStyle w:val="Bulletsspaced"/>
              <w:numPr>
                <w:ilvl w:val="0"/>
                <w:numId w:val="0"/>
              </w:numPr>
              <w:ind w:left="567"/>
              <w:rPr>
                <w:rFonts w:ascii="Arial" w:hAnsi="Arial" w:cs="Arial"/>
                <w:color w:val="auto"/>
              </w:rPr>
            </w:pPr>
          </w:p>
        </w:tc>
      </w:tr>
      <w:tr w:rsidR="007D331F" w:rsidRPr="00BB058E" w:rsidTr="007D331F">
        <w:tc>
          <w:tcPr>
            <w:tcW w:w="7402" w:type="dxa"/>
          </w:tcPr>
          <w:p w:rsidR="007D331F" w:rsidRDefault="007D331F" w:rsidP="007D331F">
            <w:pPr>
              <w:pStyle w:val="Bulletsspaced"/>
              <w:numPr>
                <w:ilvl w:val="0"/>
                <w:numId w:val="0"/>
              </w:numPr>
              <w:ind w:left="567"/>
            </w:pPr>
            <w:r w:rsidRPr="00BB058E">
              <w:rPr>
                <w:rFonts w:ascii="Arial" w:hAnsi="Arial" w:cs="Arial"/>
                <w:color w:val="auto"/>
              </w:rPr>
              <w:t xml:space="preserve">Systematically evaluate the academic, personal and social progress being made by all pupils who attend alternative provision, ensuring that the targets set for academic progress </w:t>
            </w:r>
            <w:r w:rsidRPr="00D16C94">
              <w:rPr>
                <w:rFonts w:ascii="Arial" w:hAnsi="Arial" w:cs="Arial"/>
                <w:color w:val="auto"/>
              </w:rPr>
              <w:t xml:space="preserve">are suitably challenging </w:t>
            </w:r>
            <w:r w:rsidRPr="00D16C94">
              <w:rPr>
                <w:rFonts w:ascii="Arial" w:hAnsi="Arial" w:cs="Arial"/>
              </w:rPr>
              <w:t>in relation to their starting points and make at least good progress. Where progress slows, there is evidence of swift intervention/support.</w:t>
            </w:r>
          </w:p>
          <w:p w:rsidR="007D331F" w:rsidRPr="00BB058E" w:rsidRDefault="007D331F" w:rsidP="007D331F">
            <w:pPr>
              <w:pStyle w:val="Bulletsspaced"/>
              <w:numPr>
                <w:ilvl w:val="0"/>
                <w:numId w:val="0"/>
              </w:numPr>
              <w:ind w:left="567"/>
              <w:rPr>
                <w:rFonts w:ascii="Arial" w:hAnsi="Arial" w:cs="Arial"/>
                <w:color w:val="auto"/>
              </w:rPr>
            </w:pPr>
          </w:p>
        </w:tc>
        <w:tc>
          <w:tcPr>
            <w:tcW w:w="1732" w:type="dxa"/>
          </w:tcPr>
          <w:p w:rsidR="007D331F" w:rsidRPr="00BB058E" w:rsidRDefault="007D331F" w:rsidP="007D331F">
            <w:pPr>
              <w:pStyle w:val="Bulletsspaced"/>
              <w:numPr>
                <w:ilvl w:val="0"/>
                <w:numId w:val="0"/>
              </w:numPr>
              <w:ind w:left="567"/>
              <w:rPr>
                <w:rFonts w:ascii="Arial" w:hAnsi="Arial" w:cs="Arial"/>
                <w:color w:val="auto"/>
              </w:rPr>
            </w:pPr>
          </w:p>
        </w:tc>
      </w:tr>
      <w:tr w:rsidR="007D331F" w:rsidRPr="00BB058E" w:rsidTr="007D331F">
        <w:tc>
          <w:tcPr>
            <w:tcW w:w="7402" w:type="dxa"/>
          </w:tcPr>
          <w:p w:rsidR="007D331F" w:rsidRDefault="007D331F" w:rsidP="007D331F">
            <w:pPr>
              <w:pStyle w:val="Bulletsspaced"/>
              <w:numPr>
                <w:ilvl w:val="0"/>
                <w:numId w:val="0"/>
              </w:numPr>
              <w:ind w:left="567"/>
              <w:rPr>
                <w:rFonts w:ascii="Arial" w:hAnsi="Arial" w:cs="Arial"/>
                <w:color w:val="auto"/>
              </w:rPr>
            </w:pPr>
            <w:r w:rsidRPr="00BB058E">
              <w:rPr>
                <w:rFonts w:ascii="Arial" w:hAnsi="Arial" w:cs="Arial"/>
                <w:color w:val="auto"/>
              </w:rPr>
              <w:lastRenderedPageBreak/>
              <w:t>Track and evaluate the impact of alternative provision on pupils’ employability skills</w:t>
            </w:r>
          </w:p>
          <w:p w:rsidR="007D331F" w:rsidRPr="001F20AB" w:rsidRDefault="007D331F" w:rsidP="007D331F">
            <w:pPr>
              <w:pStyle w:val="Bulletsspaced"/>
              <w:numPr>
                <w:ilvl w:val="0"/>
                <w:numId w:val="0"/>
              </w:numPr>
              <w:ind w:left="567"/>
              <w:rPr>
                <w:rFonts w:ascii="Arial" w:hAnsi="Arial" w:cs="Arial"/>
              </w:rPr>
            </w:pPr>
            <w:r>
              <w:rPr>
                <w:rFonts w:ascii="Arial" w:hAnsi="Arial" w:cs="Arial"/>
              </w:rPr>
              <w:t>Checking pu</w:t>
            </w:r>
            <w:r w:rsidRPr="001F20AB">
              <w:rPr>
                <w:rFonts w:ascii="Arial" w:hAnsi="Arial" w:cs="Arial"/>
              </w:rPr>
              <w:t>pils develop the personal and social skills to support the next stage of their education/training/employment/ life so they can function as contributing citizens in modern Britain.</w:t>
            </w:r>
          </w:p>
          <w:p w:rsidR="007D331F" w:rsidRPr="00BB058E" w:rsidRDefault="007D331F" w:rsidP="007D331F">
            <w:pPr>
              <w:pStyle w:val="Bulletsspaced"/>
              <w:numPr>
                <w:ilvl w:val="0"/>
                <w:numId w:val="0"/>
              </w:numPr>
              <w:ind w:left="567"/>
              <w:rPr>
                <w:rFonts w:ascii="Arial" w:hAnsi="Arial" w:cs="Arial"/>
                <w:color w:val="auto"/>
              </w:rPr>
            </w:pPr>
            <w:r>
              <w:rPr>
                <w:rFonts w:ascii="Arial" w:hAnsi="Arial" w:cs="Arial"/>
              </w:rPr>
              <w:t>Ensure t</w:t>
            </w:r>
            <w:r w:rsidRPr="001F20AB">
              <w:rPr>
                <w:rFonts w:ascii="Arial" w:hAnsi="Arial" w:cs="Arial"/>
              </w:rPr>
              <w:t>here are opportunities within the curriculum for all learners to learn the knowledge, skills and attitudes to help them to manage relationships, keep safe and to develop personally e.g. PSHE curriculum (personal, social, health and economic education).</w:t>
            </w:r>
          </w:p>
        </w:tc>
        <w:tc>
          <w:tcPr>
            <w:tcW w:w="1732" w:type="dxa"/>
          </w:tcPr>
          <w:p w:rsidR="007D331F" w:rsidRPr="00BB058E" w:rsidRDefault="007D331F" w:rsidP="007D331F">
            <w:pPr>
              <w:pStyle w:val="Bulletsspaced"/>
              <w:numPr>
                <w:ilvl w:val="0"/>
                <w:numId w:val="0"/>
              </w:numPr>
              <w:ind w:left="567"/>
              <w:rPr>
                <w:rFonts w:ascii="Arial" w:hAnsi="Arial" w:cs="Arial"/>
                <w:color w:val="auto"/>
              </w:rPr>
            </w:pPr>
          </w:p>
        </w:tc>
      </w:tr>
      <w:tr w:rsidR="007D331F" w:rsidRPr="00BB058E" w:rsidTr="007D331F">
        <w:trPr>
          <w:trHeight w:val="1020"/>
        </w:trPr>
        <w:tc>
          <w:tcPr>
            <w:tcW w:w="7402" w:type="dxa"/>
          </w:tcPr>
          <w:p w:rsidR="007D331F" w:rsidRPr="00BB058E" w:rsidRDefault="007D331F" w:rsidP="007D331F">
            <w:pPr>
              <w:pStyle w:val="Bulletsspaced-lastbullet"/>
              <w:numPr>
                <w:ilvl w:val="0"/>
                <w:numId w:val="0"/>
              </w:numPr>
              <w:ind w:left="567"/>
              <w:rPr>
                <w:rFonts w:ascii="Arial" w:hAnsi="Arial" w:cs="Arial"/>
                <w:color w:val="auto"/>
              </w:rPr>
            </w:pPr>
            <w:r w:rsidRPr="00BB058E">
              <w:rPr>
                <w:rFonts w:ascii="Arial" w:hAnsi="Arial" w:cs="Arial"/>
                <w:color w:val="auto"/>
                <w:lang w:eastAsia="en-GB"/>
              </w:rPr>
              <w:t>Ensure that governors understand the progress made by pupils who attend alternative provision so they can ensure that decisions made about value for money are well informed.</w:t>
            </w:r>
          </w:p>
        </w:tc>
        <w:tc>
          <w:tcPr>
            <w:tcW w:w="1732" w:type="dxa"/>
          </w:tcPr>
          <w:p w:rsidR="007D331F" w:rsidRPr="00BB058E" w:rsidRDefault="007D331F" w:rsidP="007D331F">
            <w:pPr>
              <w:pStyle w:val="Bulletsspaced-lastbullet"/>
              <w:numPr>
                <w:ilvl w:val="0"/>
                <w:numId w:val="0"/>
              </w:numPr>
              <w:ind w:left="567"/>
              <w:rPr>
                <w:rFonts w:ascii="Arial" w:hAnsi="Arial" w:cs="Arial"/>
                <w:color w:val="auto"/>
                <w:lang w:eastAsia="en-GB"/>
              </w:rPr>
            </w:pPr>
          </w:p>
        </w:tc>
      </w:tr>
      <w:tr w:rsidR="007D331F" w:rsidRPr="00BB058E" w:rsidTr="007D331F">
        <w:trPr>
          <w:trHeight w:val="165"/>
        </w:trPr>
        <w:tc>
          <w:tcPr>
            <w:tcW w:w="7402" w:type="dxa"/>
          </w:tcPr>
          <w:p w:rsidR="007D331F" w:rsidRDefault="007D331F" w:rsidP="007D331F">
            <w:pPr>
              <w:pStyle w:val="Bulletsspaced-lastbullet"/>
              <w:numPr>
                <w:ilvl w:val="0"/>
                <w:numId w:val="0"/>
              </w:numPr>
              <w:ind w:left="567"/>
              <w:rPr>
                <w:rFonts w:ascii="Arial" w:hAnsi="Arial" w:cs="Arial"/>
              </w:rPr>
            </w:pPr>
            <w:r>
              <w:rPr>
                <w:rFonts w:ascii="Arial" w:hAnsi="Arial" w:cs="Arial"/>
              </w:rPr>
              <w:t>Check that e</w:t>
            </w:r>
            <w:r w:rsidRPr="00D16C94">
              <w:rPr>
                <w:rFonts w:ascii="Arial" w:hAnsi="Arial" w:cs="Arial"/>
              </w:rPr>
              <w:t>xpectations of learner progress show clear evidence of being ambitious rather than simply following the trajectory suggested by prior attainment records</w:t>
            </w:r>
            <w:r>
              <w:rPr>
                <w:rFonts w:ascii="Arial" w:hAnsi="Arial" w:cs="Arial"/>
              </w:rPr>
              <w:t xml:space="preserve"> for example:</w:t>
            </w:r>
          </w:p>
          <w:p w:rsidR="007D331F" w:rsidRPr="001F20AB" w:rsidRDefault="007D331F" w:rsidP="007D331F">
            <w:pPr>
              <w:ind w:firstLine="720"/>
              <w:rPr>
                <w:rFonts w:ascii="Arial" w:hAnsi="Arial" w:cs="Arial"/>
                <w:sz w:val="24"/>
                <w:szCs w:val="24"/>
              </w:rPr>
            </w:pPr>
            <w:r w:rsidRPr="001F20AB">
              <w:rPr>
                <w:rFonts w:ascii="Arial" w:hAnsi="Arial" w:cs="Arial"/>
                <w:sz w:val="24"/>
                <w:szCs w:val="24"/>
              </w:rPr>
              <w:t xml:space="preserve">Resources are used effectively to support the learning of all </w:t>
            </w:r>
            <w:r>
              <w:rPr>
                <w:rFonts w:ascii="Arial" w:hAnsi="Arial" w:cs="Arial"/>
                <w:sz w:val="24"/>
                <w:szCs w:val="24"/>
              </w:rPr>
              <w:tab/>
            </w:r>
            <w:r w:rsidRPr="001F20AB">
              <w:rPr>
                <w:rFonts w:ascii="Arial" w:hAnsi="Arial" w:cs="Arial"/>
                <w:sz w:val="24"/>
                <w:szCs w:val="24"/>
              </w:rPr>
              <w:t>individual learners.</w:t>
            </w:r>
          </w:p>
          <w:p w:rsidR="007D331F" w:rsidRPr="001F20AB" w:rsidRDefault="007D331F" w:rsidP="007D331F">
            <w:pPr>
              <w:ind w:firstLine="720"/>
              <w:rPr>
                <w:rFonts w:ascii="Arial" w:hAnsi="Arial" w:cs="Arial"/>
                <w:sz w:val="24"/>
                <w:szCs w:val="24"/>
              </w:rPr>
            </w:pPr>
            <w:r w:rsidRPr="001F20AB">
              <w:rPr>
                <w:rFonts w:ascii="Arial" w:hAnsi="Arial" w:cs="Arial"/>
                <w:sz w:val="24"/>
                <w:szCs w:val="24"/>
              </w:rPr>
              <w:t xml:space="preserve">There are professional and productive working relationships </w:t>
            </w:r>
            <w:r>
              <w:rPr>
                <w:rFonts w:ascii="Arial" w:hAnsi="Arial" w:cs="Arial"/>
                <w:sz w:val="24"/>
                <w:szCs w:val="24"/>
              </w:rPr>
              <w:tab/>
            </w:r>
            <w:r w:rsidRPr="001F20AB">
              <w:rPr>
                <w:rFonts w:ascii="Arial" w:hAnsi="Arial" w:cs="Arial"/>
                <w:sz w:val="24"/>
                <w:szCs w:val="24"/>
              </w:rPr>
              <w:t xml:space="preserve">between staff and learners leading to effective feedback and </w:t>
            </w:r>
            <w:r>
              <w:rPr>
                <w:rFonts w:ascii="Arial" w:hAnsi="Arial" w:cs="Arial"/>
                <w:sz w:val="24"/>
                <w:szCs w:val="24"/>
              </w:rPr>
              <w:tab/>
            </w:r>
            <w:r w:rsidRPr="001F20AB">
              <w:rPr>
                <w:rFonts w:ascii="Arial" w:hAnsi="Arial" w:cs="Arial"/>
                <w:sz w:val="24"/>
                <w:szCs w:val="24"/>
              </w:rPr>
              <w:t>positive learning outcomes</w:t>
            </w:r>
          </w:p>
          <w:p w:rsidR="007D331F" w:rsidRPr="001F20AB" w:rsidRDefault="007D331F" w:rsidP="007D331F">
            <w:pPr>
              <w:ind w:firstLine="720"/>
              <w:rPr>
                <w:rFonts w:ascii="Arial" w:hAnsi="Arial" w:cs="Arial"/>
                <w:sz w:val="24"/>
                <w:szCs w:val="24"/>
              </w:rPr>
            </w:pPr>
            <w:r w:rsidRPr="001F20AB">
              <w:rPr>
                <w:rFonts w:ascii="Arial" w:hAnsi="Arial" w:cs="Arial"/>
                <w:sz w:val="24"/>
                <w:szCs w:val="24"/>
              </w:rPr>
              <w:t xml:space="preserve">The quality of teaching and learning is monitored and </w:t>
            </w:r>
            <w:r>
              <w:rPr>
                <w:rFonts w:ascii="Arial" w:hAnsi="Arial" w:cs="Arial"/>
                <w:sz w:val="24"/>
                <w:szCs w:val="24"/>
              </w:rPr>
              <w:tab/>
            </w:r>
            <w:r w:rsidRPr="001F20AB">
              <w:rPr>
                <w:rFonts w:ascii="Arial" w:hAnsi="Arial" w:cs="Arial"/>
                <w:sz w:val="24"/>
                <w:szCs w:val="24"/>
              </w:rPr>
              <w:t xml:space="preserve">evaluated regularly by staff with the appropriate knowledge </w:t>
            </w:r>
            <w:r>
              <w:rPr>
                <w:rFonts w:ascii="Arial" w:hAnsi="Arial" w:cs="Arial"/>
                <w:sz w:val="24"/>
                <w:szCs w:val="24"/>
              </w:rPr>
              <w:tab/>
            </w:r>
            <w:r w:rsidRPr="001F20AB">
              <w:rPr>
                <w:rFonts w:ascii="Arial" w:hAnsi="Arial" w:cs="Arial"/>
                <w:sz w:val="24"/>
                <w:szCs w:val="24"/>
              </w:rPr>
              <w:t>and skills.</w:t>
            </w:r>
          </w:p>
          <w:p w:rsidR="007D331F" w:rsidRPr="001F20AB" w:rsidRDefault="007D331F" w:rsidP="007D331F">
            <w:pPr>
              <w:ind w:firstLine="720"/>
              <w:rPr>
                <w:rFonts w:ascii="Arial" w:hAnsi="Arial" w:cs="Arial"/>
                <w:sz w:val="24"/>
                <w:szCs w:val="24"/>
              </w:rPr>
            </w:pPr>
            <w:r w:rsidRPr="001F20AB">
              <w:rPr>
                <w:rFonts w:ascii="Arial" w:hAnsi="Arial" w:cs="Arial"/>
                <w:sz w:val="24"/>
                <w:szCs w:val="24"/>
              </w:rPr>
              <w:t xml:space="preserve">Robust and appropriate tracking and evaluation of behaviour </w:t>
            </w:r>
            <w:r>
              <w:rPr>
                <w:rFonts w:ascii="Arial" w:hAnsi="Arial" w:cs="Arial"/>
                <w:sz w:val="24"/>
                <w:szCs w:val="24"/>
              </w:rPr>
              <w:tab/>
            </w:r>
            <w:r w:rsidRPr="001F20AB">
              <w:rPr>
                <w:rFonts w:ascii="Arial" w:hAnsi="Arial" w:cs="Arial"/>
                <w:sz w:val="24"/>
                <w:szCs w:val="24"/>
              </w:rPr>
              <w:t>and attitudes.</w:t>
            </w:r>
          </w:p>
          <w:p w:rsidR="007D331F" w:rsidRPr="00D16C94" w:rsidRDefault="007D331F" w:rsidP="007D331F">
            <w:pPr>
              <w:ind w:firstLine="720"/>
            </w:pPr>
            <w:r w:rsidRPr="001F20AB">
              <w:rPr>
                <w:rFonts w:ascii="Arial" w:hAnsi="Arial" w:cs="Arial"/>
                <w:sz w:val="24"/>
                <w:szCs w:val="24"/>
              </w:rPr>
              <w:t xml:space="preserve">Consistent monitoring and evaluation of wider qualities, </w:t>
            </w:r>
            <w:r>
              <w:rPr>
                <w:rFonts w:ascii="Arial" w:hAnsi="Arial" w:cs="Arial"/>
                <w:sz w:val="24"/>
                <w:szCs w:val="24"/>
              </w:rPr>
              <w:tab/>
            </w:r>
            <w:r w:rsidRPr="001F20AB">
              <w:rPr>
                <w:rFonts w:ascii="Arial" w:hAnsi="Arial" w:cs="Arial"/>
                <w:sz w:val="24"/>
                <w:szCs w:val="24"/>
              </w:rPr>
              <w:t xml:space="preserve">attributes and skills (e.g. independence, confidence, </w:t>
            </w:r>
            <w:r>
              <w:rPr>
                <w:rFonts w:ascii="Arial" w:hAnsi="Arial" w:cs="Arial"/>
                <w:sz w:val="24"/>
                <w:szCs w:val="24"/>
              </w:rPr>
              <w:tab/>
            </w:r>
            <w:r w:rsidRPr="001F20AB">
              <w:rPr>
                <w:rFonts w:ascii="Arial" w:hAnsi="Arial" w:cs="Arial"/>
                <w:sz w:val="24"/>
                <w:szCs w:val="24"/>
              </w:rPr>
              <w:t>self</w:t>
            </w:r>
            <w:r>
              <w:rPr>
                <w:rFonts w:ascii="Arial" w:hAnsi="Arial" w:cs="Arial"/>
                <w:sz w:val="24"/>
                <w:szCs w:val="24"/>
              </w:rPr>
              <w:t>-</w:t>
            </w:r>
            <w:r>
              <w:rPr>
                <w:rFonts w:ascii="Arial" w:hAnsi="Arial" w:cs="Arial"/>
                <w:sz w:val="24"/>
                <w:szCs w:val="24"/>
              </w:rPr>
              <w:tab/>
            </w:r>
            <w:r w:rsidRPr="001F20AB">
              <w:rPr>
                <w:rFonts w:ascii="Arial" w:hAnsi="Arial" w:cs="Arial"/>
                <w:sz w:val="24"/>
                <w:szCs w:val="24"/>
              </w:rPr>
              <w:t xml:space="preserve">esteem, resilience </w:t>
            </w:r>
            <w:proofErr w:type="spellStart"/>
            <w:r w:rsidRPr="001F20AB">
              <w:rPr>
                <w:rFonts w:ascii="Arial" w:hAnsi="Arial" w:cs="Arial"/>
                <w:sz w:val="24"/>
                <w:szCs w:val="24"/>
              </w:rPr>
              <w:t>etc</w:t>
            </w:r>
            <w:proofErr w:type="spellEnd"/>
            <w:r w:rsidRPr="001F20AB">
              <w:rPr>
                <w:rFonts w:ascii="Arial" w:hAnsi="Arial" w:cs="Arial"/>
                <w:sz w:val="24"/>
                <w:szCs w:val="24"/>
              </w:rPr>
              <w:t>).</w:t>
            </w:r>
          </w:p>
        </w:tc>
        <w:tc>
          <w:tcPr>
            <w:tcW w:w="1732" w:type="dxa"/>
          </w:tcPr>
          <w:p w:rsidR="007D331F" w:rsidRPr="00BB058E" w:rsidRDefault="007D331F" w:rsidP="007D331F">
            <w:pPr>
              <w:pStyle w:val="Bulletsspaced-lastbullet"/>
              <w:numPr>
                <w:ilvl w:val="0"/>
                <w:numId w:val="0"/>
              </w:numPr>
              <w:ind w:left="567"/>
              <w:rPr>
                <w:rFonts w:ascii="Arial" w:hAnsi="Arial" w:cs="Arial"/>
                <w:color w:val="auto"/>
                <w:lang w:eastAsia="en-GB"/>
              </w:rPr>
            </w:pPr>
          </w:p>
        </w:tc>
      </w:tr>
      <w:tr w:rsidR="007D331F" w:rsidRPr="00BB058E" w:rsidTr="007D331F">
        <w:tc>
          <w:tcPr>
            <w:tcW w:w="7402" w:type="dxa"/>
          </w:tcPr>
          <w:p w:rsidR="007D331F" w:rsidRPr="00BB058E" w:rsidRDefault="007D331F" w:rsidP="007D331F">
            <w:pPr>
              <w:pStyle w:val="Bulletsspaced-lastbullet"/>
              <w:numPr>
                <w:ilvl w:val="0"/>
                <w:numId w:val="0"/>
              </w:numPr>
              <w:ind w:left="567"/>
              <w:rPr>
                <w:rFonts w:ascii="Arial" w:hAnsi="Arial" w:cs="Arial"/>
                <w:color w:val="auto"/>
                <w:lang w:eastAsia="en-GB"/>
              </w:rPr>
            </w:pPr>
            <w:r>
              <w:t xml:space="preserve">Share accurate baseline assessment is undertaken to establish starting points, in close partnership with the ‘home’ school. </w:t>
            </w:r>
            <w:r>
              <w:rPr>
                <w:rFonts w:ascii="Arial" w:hAnsi="Arial" w:cs="Arial"/>
                <w:color w:val="auto"/>
                <w:lang w:eastAsia="en-GB"/>
              </w:rPr>
              <w:t>Ensure</w:t>
            </w:r>
            <w:r w:rsidRPr="00BB058E">
              <w:rPr>
                <w:rFonts w:ascii="Arial" w:hAnsi="Arial" w:cs="Arial"/>
                <w:color w:val="auto"/>
                <w:lang w:eastAsia="en-GB"/>
              </w:rPr>
              <w:t xml:space="preserve"> that detailed information about the pupils needs (including literacy and numeracy skills, health special educational needs, specific behaviour needs) </w:t>
            </w:r>
            <w:proofErr w:type="gramStart"/>
            <w:r w:rsidRPr="00BB058E">
              <w:rPr>
                <w:rFonts w:ascii="Arial" w:hAnsi="Arial" w:cs="Arial"/>
                <w:color w:val="auto"/>
                <w:lang w:eastAsia="en-GB"/>
              </w:rPr>
              <w:t>are</w:t>
            </w:r>
            <w:proofErr w:type="gramEnd"/>
            <w:r w:rsidRPr="00BB058E">
              <w:rPr>
                <w:rFonts w:ascii="Arial" w:hAnsi="Arial" w:cs="Arial"/>
                <w:color w:val="auto"/>
                <w:lang w:eastAsia="en-GB"/>
              </w:rPr>
              <w:t xml:space="preserve"> share</w:t>
            </w:r>
            <w:r>
              <w:rPr>
                <w:rFonts w:ascii="Arial" w:hAnsi="Arial" w:cs="Arial"/>
                <w:color w:val="auto"/>
                <w:lang w:eastAsia="en-GB"/>
              </w:rPr>
              <w:t>d</w:t>
            </w:r>
            <w:r w:rsidRPr="00BB058E">
              <w:rPr>
                <w:rFonts w:ascii="Arial" w:hAnsi="Arial" w:cs="Arial"/>
                <w:color w:val="auto"/>
                <w:lang w:eastAsia="en-GB"/>
              </w:rPr>
              <w:t xml:space="preserve"> with the alternative provision. </w:t>
            </w:r>
          </w:p>
        </w:tc>
        <w:tc>
          <w:tcPr>
            <w:tcW w:w="1732" w:type="dxa"/>
          </w:tcPr>
          <w:p w:rsidR="007D331F" w:rsidRPr="00BB058E" w:rsidRDefault="007D331F" w:rsidP="007D331F">
            <w:pPr>
              <w:pStyle w:val="Bulletsspaced-lastbullet"/>
              <w:numPr>
                <w:ilvl w:val="0"/>
                <w:numId w:val="0"/>
              </w:numPr>
              <w:ind w:left="567"/>
              <w:rPr>
                <w:rFonts w:ascii="Arial" w:hAnsi="Arial" w:cs="Arial"/>
                <w:color w:val="auto"/>
                <w:lang w:eastAsia="en-GB"/>
              </w:rPr>
            </w:pPr>
          </w:p>
        </w:tc>
      </w:tr>
      <w:tr w:rsidR="007D331F" w:rsidRPr="00BB058E" w:rsidTr="007D331F">
        <w:tc>
          <w:tcPr>
            <w:tcW w:w="7402" w:type="dxa"/>
          </w:tcPr>
          <w:p w:rsidR="007D331F" w:rsidRPr="00BB058E" w:rsidRDefault="007D331F" w:rsidP="007D331F">
            <w:pPr>
              <w:pStyle w:val="Bulletsspaced-lastbullet"/>
              <w:numPr>
                <w:ilvl w:val="0"/>
                <w:numId w:val="0"/>
              </w:numPr>
              <w:ind w:left="567"/>
              <w:rPr>
                <w:rFonts w:ascii="Arial" w:hAnsi="Arial" w:cs="Arial"/>
                <w:color w:val="auto"/>
                <w:lang w:eastAsia="en-GB"/>
              </w:rPr>
            </w:pPr>
            <w:r w:rsidRPr="00BB058E">
              <w:rPr>
                <w:rFonts w:ascii="Arial" w:hAnsi="Arial" w:cs="Arial"/>
                <w:color w:val="auto"/>
                <w:lang w:eastAsia="en-GB"/>
              </w:rPr>
              <w:t xml:space="preserve">Alternative </w:t>
            </w:r>
            <w:proofErr w:type="gramStart"/>
            <w:r w:rsidRPr="00BB058E">
              <w:rPr>
                <w:rFonts w:ascii="Arial" w:hAnsi="Arial" w:cs="Arial"/>
                <w:color w:val="auto"/>
                <w:lang w:eastAsia="en-GB"/>
              </w:rPr>
              <w:t>provision have</w:t>
            </w:r>
            <w:proofErr w:type="gramEnd"/>
            <w:r w:rsidRPr="00BB058E">
              <w:rPr>
                <w:rFonts w:ascii="Arial" w:hAnsi="Arial" w:cs="Arial"/>
                <w:color w:val="auto"/>
                <w:lang w:eastAsia="en-GB"/>
              </w:rPr>
              <w:t xml:space="preserve"> shared in detail their induction arrangements that involved schools and parents that set out </w:t>
            </w:r>
            <w:r w:rsidRPr="00BB058E">
              <w:rPr>
                <w:rFonts w:ascii="Arial" w:hAnsi="Arial" w:cs="Arial"/>
                <w:color w:val="auto"/>
                <w:lang w:eastAsia="en-GB"/>
              </w:rPr>
              <w:lastRenderedPageBreak/>
              <w:t>support and expectations.</w:t>
            </w:r>
          </w:p>
        </w:tc>
        <w:tc>
          <w:tcPr>
            <w:tcW w:w="1732" w:type="dxa"/>
          </w:tcPr>
          <w:p w:rsidR="007D331F" w:rsidRPr="00BB058E" w:rsidRDefault="007D331F" w:rsidP="007D331F">
            <w:pPr>
              <w:pStyle w:val="Bulletsspaced-lastbullet"/>
              <w:numPr>
                <w:ilvl w:val="0"/>
                <w:numId w:val="0"/>
              </w:numPr>
              <w:ind w:left="567"/>
              <w:rPr>
                <w:rFonts w:ascii="Arial" w:hAnsi="Arial" w:cs="Arial"/>
                <w:color w:val="auto"/>
                <w:lang w:eastAsia="en-GB"/>
              </w:rPr>
            </w:pPr>
          </w:p>
        </w:tc>
      </w:tr>
      <w:tr w:rsidR="007D331F" w:rsidRPr="00BB058E" w:rsidTr="007D331F">
        <w:tc>
          <w:tcPr>
            <w:tcW w:w="7402" w:type="dxa"/>
          </w:tcPr>
          <w:p w:rsidR="007D331F" w:rsidRPr="00D16C94" w:rsidRDefault="007D331F" w:rsidP="007D331F">
            <w:pPr>
              <w:pStyle w:val="Bulletsspaced-lastbullet"/>
              <w:numPr>
                <w:ilvl w:val="0"/>
                <w:numId w:val="0"/>
              </w:numPr>
              <w:ind w:left="567"/>
              <w:rPr>
                <w:rFonts w:ascii="Arial" w:hAnsi="Arial" w:cs="Arial"/>
                <w:color w:val="auto"/>
                <w:lang w:eastAsia="en-GB"/>
              </w:rPr>
            </w:pPr>
            <w:r w:rsidRPr="00BB058E">
              <w:rPr>
                <w:rFonts w:ascii="Arial" w:hAnsi="Arial" w:cs="Arial"/>
                <w:color w:val="auto"/>
                <w:lang w:eastAsia="en-GB"/>
              </w:rPr>
              <w:lastRenderedPageBreak/>
              <w:t xml:space="preserve">The alternative provider has robust system to monitor and </w:t>
            </w:r>
            <w:r w:rsidRPr="00D16C94">
              <w:rPr>
                <w:rFonts w:ascii="Arial" w:hAnsi="Arial" w:cs="Arial"/>
                <w:color w:val="auto"/>
                <w:lang w:eastAsia="en-GB"/>
              </w:rPr>
              <w:t>action attendance issues.</w:t>
            </w:r>
          </w:p>
          <w:p w:rsidR="007D331F" w:rsidRPr="00BB058E" w:rsidRDefault="007D331F" w:rsidP="007D331F">
            <w:pPr>
              <w:pStyle w:val="Bulletsspaced-lastbullet"/>
              <w:numPr>
                <w:ilvl w:val="0"/>
                <w:numId w:val="0"/>
              </w:numPr>
              <w:ind w:left="567"/>
              <w:rPr>
                <w:rFonts w:ascii="Arial" w:hAnsi="Arial" w:cs="Arial"/>
                <w:color w:val="auto"/>
                <w:lang w:eastAsia="en-GB"/>
              </w:rPr>
            </w:pPr>
            <w:r w:rsidRPr="00D16C94">
              <w:rPr>
                <w:rFonts w:ascii="Arial" w:hAnsi="Arial" w:cs="Arial"/>
              </w:rPr>
              <w:t>Evidence shows improved attendance over time for individuals and a reduction in persistent absence</w:t>
            </w:r>
            <w:r w:rsidRPr="00BB058E">
              <w:rPr>
                <w:rFonts w:ascii="Arial" w:hAnsi="Arial" w:cs="Arial"/>
                <w:color w:val="auto"/>
                <w:lang w:eastAsia="en-GB"/>
              </w:rPr>
              <w:t xml:space="preserve"> </w:t>
            </w:r>
          </w:p>
        </w:tc>
        <w:tc>
          <w:tcPr>
            <w:tcW w:w="1732" w:type="dxa"/>
          </w:tcPr>
          <w:p w:rsidR="007D331F" w:rsidRPr="00BB058E" w:rsidRDefault="007D331F" w:rsidP="007D331F">
            <w:pPr>
              <w:pStyle w:val="Bulletsspaced-lastbullet"/>
              <w:numPr>
                <w:ilvl w:val="0"/>
                <w:numId w:val="0"/>
              </w:numPr>
              <w:ind w:left="567"/>
              <w:rPr>
                <w:rFonts w:ascii="Arial" w:hAnsi="Arial" w:cs="Arial"/>
                <w:color w:val="auto"/>
                <w:lang w:eastAsia="en-GB"/>
              </w:rPr>
            </w:pPr>
          </w:p>
        </w:tc>
      </w:tr>
      <w:tr w:rsidR="007D331F" w:rsidRPr="00BB058E" w:rsidTr="007D331F">
        <w:trPr>
          <w:trHeight w:val="525"/>
        </w:trPr>
        <w:tc>
          <w:tcPr>
            <w:tcW w:w="7402" w:type="dxa"/>
          </w:tcPr>
          <w:p w:rsidR="007D331F" w:rsidRPr="00BB058E" w:rsidRDefault="007D331F" w:rsidP="007D331F">
            <w:pPr>
              <w:pStyle w:val="Bulletsspaced-lastbullet"/>
              <w:numPr>
                <w:ilvl w:val="0"/>
                <w:numId w:val="0"/>
              </w:numPr>
              <w:ind w:left="567"/>
              <w:rPr>
                <w:rFonts w:ascii="Arial" w:hAnsi="Arial" w:cs="Arial"/>
                <w:lang w:eastAsia="en-GB"/>
              </w:rPr>
            </w:pPr>
            <w:r w:rsidRPr="00012B37">
              <w:rPr>
                <w:rFonts w:ascii="Arial" w:hAnsi="Arial" w:cs="Arial"/>
                <w:color w:val="auto"/>
                <w:lang w:eastAsia="en-GB"/>
              </w:rPr>
              <w:t>School checks that AP follows effective safeguarding procedures including</w:t>
            </w:r>
            <w:r>
              <w:rPr>
                <w:rFonts w:ascii="Arial" w:hAnsi="Arial" w:cs="Arial"/>
                <w:color w:val="auto"/>
                <w:lang w:eastAsia="en-GB"/>
              </w:rPr>
              <w:t xml:space="preserve"> ensuring access to the site is restricted to registered pupils and the organisations own staff, visitors and volunteers are recorded appropriately and any checks made as required.</w:t>
            </w:r>
            <w:r w:rsidRPr="00012B37">
              <w:rPr>
                <w:rFonts w:ascii="Arial" w:hAnsi="Arial" w:cs="Arial"/>
                <w:color w:val="auto"/>
                <w:lang w:eastAsia="en-GB"/>
              </w:rPr>
              <w:t xml:space="preserve"> </w:t>
            </w:r>
          </w:p>
        </w:tc>
        <w:tc>
          <w:tcPr>
            <w:tcW w:w="1732" w:type="dxa"/>
          </w:tcPr>
          <w:p w:rsidR="007D331F" w:rsidRPr="00BB058E" w:rsidRDefault="007D331F" w:rsidP="007D331F">
            <w:pPr>
              <w:pStyle w:val="Bulletsspaced-lastbullet"/>
              <w:numPr>
                <w:ilvl w:val="0"/>
                <w:numId w:val="0"/>
              </w:numPr>
              <w:ind w:left="567"/>
              <w:rPr>
                <w:rFonts w:ascii="Arial" w:hAnsi="Arial" w:cs="Arial"/>
                <w:color w:val="auto"/>
                <w:lang w:eastAsia="en-GB"/>
              </w:rPr>
            </w:pPr>
          </w:p>
        </w:tc>
      </w:tr>
    </w:tbl>
    <w:p w:rsidR="006E4E09" w:rsidRDefault="006E4E09"/>
    <w:sectPr w:rsidR="006E4E0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31F" w:rsidRDefault="007D331F" w:rsidP="007D331F">
      <w:pPr>
        <w:spacing w:after="0" w:line="240" w:lineRule="auto"/>
      </w:pPr>
      <w:r>
        <w:separator/>
      </w:r>
    </w:p>
  </w:endnote>
  <w:endnote w:type="continuationSeparator" w:id="0">
    <w:p w:rsidR="007D331F" w:rsidRDefault="007D331F" w:rsidP="007D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31F" w:rsidRDefault="007D331F" w:rsidP="007D331F">
      <w:pPr>
        <w:spacing w:after="0" w:line="240" w:lineRule="auto"/>
      </w:pPr>
      <w:r>
        <w:separator/>
      </w:r>
    </w:p>
  </w:footnote>
  <w:footnote w:type="continuationSeparator" w:id="0">
    <w:p w:rsidR="007D331F" w:rsidRDefault="007D331F" w:rsidP="007D3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1F" w:rsidRDefault="007D331F" w:rsidP="007D331F">
    <w:pPr>
      <w:pStyle w:val="Header"/>
      <w:jc w:val="right"/>
      <w:rPr>
        <w:sz w:val="56"/>
        <w:szCs w:val="56"/>
      </w:rPr>
    </w:pPr>
    <w:r>
      <w:rPr>
        <w:noProof/>
        <w:lang w:eastAsia="en-GB"/>
      </w:rPr>
      <w:drawing>
        <wp:inline distT="0" distB="0" distL="0" distR="0" wp14:anchorId="1E43F162" wp14:editId="2F8FF207">
          <wp:extent cx="1866900" cy="617559"/>
          <wp:effectExtent l="0" t="0" r="0" b="0"/>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8831" cy="621506"/>
                  </a:xfrm>
                  <a:prstGeom prst="rect">
                    <a:avLst/>
                  </a:prstGeom>
                  <a:noFill/>
                  <a:ln>
                    <a:noFill/>
                  </a:ln>
                </pic:spPr>
              </pic:pic>
            </a:graphicData>
          </a:graphic>
        </wp:inline>
      </w:drawing>
    </w:r>
  </w:p>
  <w:p w:rsidR="007D331F" w:rsidRPr="007D331F" w:rsidRDefault="007D331F" w:rsidP="007D331F">
    <w:pPr>
      <w:pStyle w:val="Header"/>
      <w:jc w:val="center"/>
      <w:rPr>
        <w:sz w:val="56"/>
        <w:szCs w:val="56"/>
      </w:rPr>
    </w:pPr>
    <w:r w:rsidRPr="007D331F">
      <w:rPr>
        <w:sz w:val="56"/>
        <w:szCs w:val="56"/>
      </w:rPr>
      <w:t>Bradford Quality Assurance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1F"/>
    <w:rsid w:val="00676652"/>
    <w:rsid w:val="006E4E09"/>
    <w:rsid w:val="007D331F"/>
    <w:rsid w:val="00BF1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31F"/>
    <w:pPr>
      <w:spacing w:after="0" w:line="240" w:lineRule="auto"/>
    </w:pPr>
  </w:style>
  <w:style w:type="table" w:styleId="TableGrid">
    <w:name w:val="Table Grid"/>
    <w:basedOn w:val="TableNormal"/>
    <w:uiPriority w:val="59"/>
    <w:rsid w:val="007D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7D331F"/>
    <w:rPr>
      <w:rFonts w:ascii="SymbolMT" w:hAnsi="SymbolMT" w:hint="default"/>
      <w:b w:val="0"/>
      <w:bCs w:val="0"/>
      <w:i w:val="0"/>
      <w:iCs w:val="0"/>
      <w:color w:val="111111"/>
      <w:sz w:val="24"/>
      <w:szCs w:val="24"/>
    </w:rPr>
  </w:style>
  <w:style w:type="paragraph" w:customStyle="1" w:styleId="Bulletsspaced">
    <w:name w:val="Bullets (spaced)"/>
    <w:basedOn w:val="Normal"/>
    <w:link w:val="BulletsspacedChar"/>
    <w:rsid w:val="007D331F"/>
    <w:pPr>
      <w:numPr>
        <w:numId w:val="1"/>
      </w:numPr>
      <w:spacing w:before="120" w:after="0" w:line="240" w:lineRule="auto"/>
      <w:ind w:left="924" w:hanging="357"/>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7D331F"/>
    <w:pPr>
      <w:spacing w:after="240"/>
      <w:ind w:left="927" w:hanging="360"/>
    </w:pPr>
  </w:style>
  <w:style w:type="character" w:customStyle="1" w:styleId="BulletsspacedChar">
    <w:name w:val="Bullets (spaced) Char"/>
    <w:link w:val="Bulletsspaced"/>
    <w:rsid w:val="007D331F"/>
    <w:rPr>
      <w:rFonts w:ascii="Tahoma" w:eastAsia="Times New Roman" w:hAnsi="Tahoma" w:cs="Times New Roman"/>
      <w:color w:val="000000"/>
      <w:sz w:val="24"/>
      <w:szCs w:val="24"/>
    </w:rPr>
  </w:style>
  <w:style w:type="paragraph" w:styleId="Header">
    <w:name w:val="header"/>
    <w:basedOn w:val="Normal"/>
    <w:link w:val="HeaderChar"/>
    <w:uiPriority w:val="99"/>
    <w:unhideWhenUsed/>
    <w:rsid w:val="007D3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31F"/>
  </w:style>
  <w:style w:type="paragraph" w:styleId="Footer">
    <w:name w:val="footer"/>
    <w:basedOn w:val="Normal"/>
    <w:link w:val="FooterChar"/>
    <w:uiPriority w:val="99"/>
    <w:unhideWhenUsed/>
    <w:rsid w:val="007D3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31F"/>
  </w:style>
  <w:style w:type="paragraph" w:styleId="BalloonText">
    <w:name w:val="Balloon Text"/>
    <w:basedOn w:val="Normal"/>
    <w:link w:val="BalloonTextChar"/>
    <w:uiPriority w:val="99"/>
    <w:semiHidden/>
    <w:unhideWhenUsed/>
    <w:rsid w:val="007D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31F"/>
    <w:pPr>
      <w:spacing w:after="0" w:line="240" w:lineRule="auto"/>
    </w:pPr>
  </w:style>
  <w:style w:type="table" w:styleId="TableGrid">
    <w:name w:val="Table Grid"/>
    <w:basedOn w:val="TableNormal"/>
    <w:uiPriority w:val="59"/>
    <w:rsid w:val="007D3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7D331F"/>
    <w:rPr>
      <w:rFonts w:ascii="SymbolMT" w:hAnsi="SymbolMT" w:hint="default"/>
      <w:b w:val="0"/>
      <w:bCs w:val="0"/>
      <w:i w:val="0"/>
      <w:iCs w:val="0"/>
      <w:color w:val="111111"/>
      <w:sz w:val="24"/>
      <w:szCs w:val="24"/>
    </w:rPr>
  </w:style>
  <w:style w:type="paragraph" w:customStyle="1" w:styleId="Bulletsspaced">
    <w:name w:val="Bullets (spaced)"/>
    <w:basedOn w:val="Normal"/>
    <w:link w:val="BulletsspacedChar"/>
    <w:rsid w:val="007D331F"/>
    <w:pPr>
      <w:numPr>
        <w:numId w:val="1"/>
      </w:numPr>
      <w:spacing w:before="120" w:after="0" w:line="240" w:lineRule="auto"/>
      <w:ind w:left="924" w:hanging="357"/>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7D331F"/>
    <w:pPr>
      <w:spacing w:after="240"/>
      <w:ind w:left="927" w:hanging="360"/>
    </w:pPr>
  </w:style>
  <w:style w:type="character" w:customStyle="1" w:styleId="BulletsspacedChar">
    <w:name w:val="Bullets (spaced) Char"/>
    <w:link w:val="Bulletsspaced"/>
    <w:rsid w:val="007D331F"/>
    <w:rPr>
      <w:rFonts w:ascii="Tahoma" w:eastAsia="Times New Roman" w:hAnsi="Tahoma" w:cs="Times New Roman"/>
      <w:color w:val="000000"/>
      <w:sz w:val="24"/>
      <w:szCs w:val="24"/>
    </w:rPr>
  </w:style>
  <w:style w:type="paragraph" w:styleId="Header">
    <w:name w:val="header"/>
    <w:basedOn w:val="Normal"/>
    <w:link w:val="HeaderChar"/>
    <w:uiPriority w:val="99"/>
    <w:unhideWhenUsed/>
    <w:rsid w:val="007D3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31F"/>
  </w:style>
  <w:style w:type="paragraph" w:styleId="Footer">
    <w:name w:val="footer"/>
    <w:basedOn w:val="Normal"/>
    <w:link w:val="FooterChar"/>
    <w:uiPriority w:val="99"/>
    <w:unhideWhenUsed/>
    <w:rsid w:val="007D3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31F"/>
  </w:style>
  <w:style w:type="paragraph" w:styleId="BalloonText">
    <w:name w:val="Balloon Text"/>
    <w:basedOn w:val="Normal"/>
    <w:link w:val="BalloonTextChar"/>
    <w:uiPriority w:val="99"/>
    <w:semiHidden/>
    <w:unhideWhenUsed/>
    <w:rsid w:val="007D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Roper (FH)</dc:creator>
  <cp:lastModifiedBy>Karen Roper (FH)</cp:lastModifiedBy>
  <cp:revision>1</cp:revision>
  <dcterms:created xsi:type="dcterms:W3CDTF">2021-01-11T08:17:00Z</dcterms:created>
  <dcterms:modified xsi:type="dcterms:W3CDTF">2021-01-11T08:21:00Z</dcterms:modified>
</cp:coreProperties>
</file>