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C46" w:rsidRDefault="005C36D6" w:rsidP="00F15346">
      <w:pPr>
        <w:rPr>
          <w:rFonts w:ascii="Arial" w:hAnsi="Arial" w:cs="Arial"/>
        </w:rPr>
      </w:pPr>
      <w:r>
        <w:rPr>
          <w:rFonts w:ascii="Arial" w:hAnsi="Arial" w:cs="Arial"/>
          <w:noProof/>
        </w:rPr>
        <w:drawing>
          <wp:inline distT="0" distB="0" distL="0" distR="0">
            <wp:extent cx="2409825" cy="7048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704850"/>
                    </a:xfrm>
                    <a:prstGeom prst="rect">
                      <a:avLst/>
                    </a:prstGeom>
                    <a:noFill/>
                    <a:ln>
                      <a:noFill/>
                    </a:ln>
                  </pic:spPr>
                </pic:pic>
              </a:graphicData>
            </a:graphic>
          </wp:inline>
        </w:drawing>
      </w:r>
      <w:r w:rsidR="00304C46" w:rsidRPr="00C24327">
        <w:rPr>
          <w:rFonts w:ascii="Arial" w:hAnsi="Arial" w:cs="Arial"/>
        </w:rPr>
        <w:t xml:space="preserve">     </w:t>
      </w:r>
    </w:p>
    <w:p w:rsidR="00304C46" w:rsidRDefault="00304C46" w:rsidP="00F15346">
      <w:pPr>
        <w:jc w:val="right"/>
        <w:rPr>
          <w:rFonts w:ascii="Arial" w:hAnsi="Arial" w:cs="Arial"/>
          <w:noProof/>
        </w:rPr>
      </w:pPr>
      <w:r w:rsidRPr="00C24327">
        <w:rPr>
          <w:rFonts w:ascii="Arial" w:hAnsi="Arial" w:cs="Arial"/>
        </w:rPr>
        <w:t xml:space="preserve">                                                        </w:t>
      </w:r>
      <w:r w:rsidR="005C36D6">
        <w:rPr>
          <w:rFonts w:ascii="Arial" w:hAnsi="Arial" w:cs="Arial"/>
          <w:noProof/>
        </w:rPr>
        <w:drawing>
          <wp:inline distT="0" distB="0" distL="0" distR="0">
            <wp:extent cx="1190625" cy="13049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304925"/>
                    </a:xfrm>
                    <a:prstGeom prst="rect">
                      <a:avLst/>
                    </a:prstGeom>
                    <a:noFill/>
                    <a:ln>
                      <a:noFill/>
                    </a:ln>
                  </pic:spPr>
                </pic:pic>
              </a:graphicData>
            </a:graphic>
          </wp:inline>
        </w:drawing>
      </w:r>
    </w:p>
    <w:p w:rsidR="00622777" w:rsidRDefault="00622777" w:rsidP="009D1BCC">
      <w:pPr>
        <w:jc w:val="center"/>
        <w:rPr>
          <w:rFonts w:ascii="Arial" w:hAnsi="Arial" w:cs="Arial"/>
          <w:bCs/>
          <w:noProof/>
          <w:color w:val="FF0000"/>
          <w:sz w:val="20"/>
          <w:szCs w:val="20"/>
        </w:rPr>
      </w:pPr>
    </w:p>
    <w:p w:rsidR="00AC0121" w:rsidRDefault="00172676" w:rsidP="009D1BCC">
      <w:pPr>
        <w:jc w:val="center"/>
        <w:rPr>
          <w:rFonts w:ascii="Arial" w:hAnsi="Arial" w:cs="Arial"/>
          <w:bCs/>
          <w:noProof/>
          <w:sz w:val="28"/>
          <w:szCs w:val="28"/>
        </w:rPr>
      </w:pPr>
      <w:bookmarkStart w:id="0" w:name="_GoBack"/>
      <w:bookmarkEnd w:id="0"/>
      <w:r>
        <w:rPr>
          <w:rFonts w:ascii="Arial" w:hAnsi="Arial" w:cs="Arial"/>
          <w:bCs/>
          <w:noProof/>
          <w:sz w:val="28"/>
          <w:szCs w:val="28"/>
        </w:rPr>
        <w:t>Lloyds Banking Group’s</w:t>
      </w:r>
      <w:r w:rsidR="00AC0121">
        <w:rPr>
          <w:rFonts w:ascii="Arial" w:hAnsi="Arial" w:cs="Arial"/>
          <w:bCs/>
          <w:noProof/>
          <w:sz w:val="28"/>
          <w:szCs w:val="28"/>
        </w:rPr>
        <w:t xml:space="preserve"> employability programme, Lloyds Scholars</w:t>
      </w:r>
      <w:r w:rsidR="00422831">
        <w:rPr>
          <w:rFonts w:ascii="Arial" w:hAnsi="Arial" w:cs="Arial"/>
          <w:bCs/>
          <w:noProof/>
          <w:sz w:val="28"/>
          <w:szCs w:val="28"/>
        </w:rPr>
        <w:t>, is</w:t>
      </w:r>
      <w:r w:rsidR="00AC0121">
        <w:rPr>
          <w:rFonts w:ascii="Arial" w:hAnsi="Arial" w:cs="Arial"/>
          <w:bCs/>
          <w:noProof/>
          <w:sz w:val="28"/>
          <w:szCs w:val="28"/>
        </w:rPr>
        <w:t xml:space="preserve"> </w:t>
      </w:r>
      <w:r w:rsidR="00CE3514">
        <w:rPr>
          <w:rFonts w:ascii="Arial" w:hAnsi="Arial" w:cs="Arial"/>
          <w:bCs/>
          <w:noProof/>
          <w:sz w:val="28"/>
          <w:szCs w:val="28"/>
        </w:rPr>
        <w:t xml:space="preserve">now </w:t>
      </w:r>
      <w:r w:rsidR="009D1BCC">
        <w:rPr>
          <w:rFonts w:ascii="Arial" w:hAnsi="Arial" w:cs="Arial"/>
          <w:bCs/>
          <w:noProof/>
          <w:sz w:val="28"/>
          <w:szCs w:val="28"/>
        </w:rPr>
        <w:t>open for new recruits</w:t>
      </w:r>
    </w:p>
    <w:p w:rsidR="00CE3514" w:rsidRDefault="0027609A" w:rsidP="009D1BCC">
      <w:pPr>
        <w:jc w:val="both"/>
        <w:outlineLvl w:val="0"/>
        <w:rPr>
          <w:rFonts w:ascii="Arial" w:hAnsi="Arial" w:cs="Arial"/>
          <w:bCs/>
        </w:rPr>
      </w:pPr>
      <w:r>
        <w:rPr>
          <w:rFonts w:ascii="Arial" w:hAnsi="Arial" w:cs="Arial"/>
          <w:bCs/>
        </w:rPr>
        <w:t>Lloyds Scholars</w:t>
      </w:r>
      <w:r w:rsidR="00592223">
        <w:rPr>
          <w:rFonts w:ascii="Arial" w:hAnsi="Arial" w:cs="Arial"/>
          <w:bCs/>
        </w:rPr>
        <w:t xml:space="preserve"> is Lloyds Banking Group’s</w:t>
      </w:r>
      <w:r>
        <w:rPr>
          <w:rFonts w:ascii="Arial" w:hAnsi="Arial" w:cs="Arial"/>
          <w:bCs/>
        </w:rPr>
        <w:t xml:space="preserve"> </w:t>
      </w:r>
      <w:r w:rsidR="00FE40D9">
        <w:rPr>
          <w:rFonts w:ascii="Arial" w:hAnsi="Arial" w:cs="Arial"/>
          <w:bCs/>
        </w:rPr>
        <w:t>award-winning</w:t>
      </w:r>
      <w:r>
        <w:rPr>
          <w:rFonts w:ascii="Arial" w:hAnsi="Arial" w:cs="Arial"/>
          <w:bCs/>
        </w:rPr>
        <w:t xml:space="preserve"> social mobility</w:t>
      </w:r>
      <w:r w:rsidR="00422831">
        <w:rPr>
          <w:rFonts w:ascii="Arial" w:hAnsi="Arial" w:cs="Arial"/>
          <w:bCs/>
        </w:rPr>
        <w:t xml:space="preserve"> </w:t>
      </w:r>
      <w:r>
        <w:rPr>
          <w:rFonts w:ascii="Arial" w:hAnsi="Arial" w:cs="Arial"/>
          <w:bCs/>
        </w:rPr>
        <w:t xml:space="preserve">programme </w:t>
      </w:r>
      <w:r w:rsidR="00592223">
        <w:rPr>
          <w:rFonts w:ascii="Arial" w:hAnsi="Arial" w:cs="Arial"/>
          <w:bCs/>
        </w:rPr>
        <w:t xml:space="preserve">that is having a positive impact on employability for students from lower income households. </w:t>
      </w:r>
      <w:r w:rsidR="00A769AB">
        <w:rPr>
          <w:rFonts w:ascii="Arial" w:hAnsi="Arial" w:cs="Arial"/>
          <w:bCs/>
        </w:rPr>
        <w:t>The programme is</w:t>
      </w:r>
      <w:r>
        <w:rPr>
          <w:rFonts w:ascii="Arial" w:hAnsi="Arial" w:cs="Arial"/>
          <w:bCs/>
        </w:rPr>
        <w:t xml:space="preserve"> </w:t>
      </w:r>
      <w:r w:rsidR="00592223">
        <w:rPr>
          <w:rFonts w:ascii="Arial" w:hAnsi="Arial" w:cs="Arial"/>
          <w:bCs/>
        </w:rPr>
        <w:t xml:space="preserve">now </w:t>
      </w:r>
      <w:r w:rsidR="00FE40D9">
        <w:rPr>
          <w:rFonts w:ascii="Arial" w:hAnsi="Arial" w:cs="Arial"/>
          <w:bCs/>
        </w:rPr>
        <w:t>recruiting</w:t>
      </w:r>
      <w:r w:rsidR="00A769AB">
        <w:rPr>
          <w:rFonts w:ascii="Arial" w:hAnsi="Arial" w:cs="Arial"/>
          <w:bCs/>
        </w:rPr>
        <w:t xml:space="preserve"> </w:t>
      </w:r>
      <w:r w:rsidR="009D1BCC">
        <w:rPr>
          <w:rFonts w:ascii="Arial" w:hAnsi="Arial" w:cs="Arial"/>
          <w:bCs/>
        </w:rPr>
        <w:t>its 2017/ 18 university intake</w:t>
      </w:r>
      <w:r w:rsidR="00592223">
        <w:rPr>
          <w:rFonts w:ascii="Arial" w:hAnsi="Arial" w:cs="Arial"/>
          <w:bCs/>
        </w:rPr>
        <w:t xml:space="preserve"> of </w:t>
      </w:r>
      <w:r w:rsidR="00FE40D9">
        <w:rPr>
          <w:rFonts w:ascii="Arial" w:hAnsi="Arial" w:cs="Arial"/>
          <w:bCs/>
        </w:rPr>
        <w:t>students</w:t>
      </w:r>
      <w:r w:rsidR="00592223">
        <w:rPr>
          <w:rFonts w:ascii="Arial" w:hAnsi="Arial" w:cs="Arial"/>
          <w:bCs/>
        </w:rPr>
        <w:t xml:space="preserve"> </w:t>
      </w:r>
      <w:r>
        <w:rPr>
          <w:rFonts w:ascii="Arial" w:hAnsi="Arial" w:cs="Arial"/>
          <w:bCs/>
        </w:rPr>
        <w:t xml:space="preserve">from across the </w:t>
      </w:r>
      <w:r w:rsidR="00422831">
        <w:rPr>
          <w:rFonts w:ascii="Arial" w:hAnsi="Arial" w:cs="Arial"/>
          <w:bCs/>
        </w:rPr>
        <w:t>UK</w:t>
      </w:r>
      <w:r w:rsidR="009D1BCC">
        <w:rPr>
          <w:rFonts w:ascii="Arial" w:hAnsi="Arial" w:cs="Arial"/>
          <w:bCs/>
        </w:rPr>
        <w:t>. F</w:t>
      </w:r>
      <w:r w:rsidR="00AC0121">
        <w:rPr>
          <w:rFonts w:ascii="Arial" w:hAnsi="Arial" w:cs="Arial"/>
          <w:bCs/>
        </w:rPr>
        <w:t>or the first time</w:t>
      </w:r>
      <w:r w:rsidR="00422831">
        <w:rPr>
          <w:rFonts w:ascii="Arial" w:hAnsi="Arial" w:cs="Arial"/>
          <w:bCs/>
        </w:rPr>
        <w:t>,</w:t>
      </w:r>
      <w:r w:rsidR="00AC0121">
        <w:rPr>
          <w:rFonts w:ascii="Arial" w:hAnsi="Arial" w:cs="Arial"/>
          <w:bCs/>
        </w:rPr>
        <w:t xml:space="preserve"> </w:t>
      </w:r>
      <w:r w:rsidR="009D1BCC">
        <w:rPr>
          <w:rFonts w:ascii="Arial" w:hAnsi="Arial" w:cs="Arial"/>
          <w:bCs/>
        </w:rPr>
        <w:t xml:space="preserve">it </w:t>
      </w:r>
      <w:r w:rsidR="00592223">
        <w:rPr>
          <w:rFonts w:ascii="Arial" w:hAnsi="Arial" w:cs="Arial"/>
          <w:bCs/>
        </w:rPr>
        <w:t xml:space="preserve">is </w:t>
      </w:r>
      <w:r w:rsidR="009D1BCC">
        <w:rPr>
          <w:rFonts w:ascii="Arial" w:hAnsi="Arial" w:cs="Arial"/>
          <w:bCs/>
        </w:rPr>
        <w:t xml:space="preserve">also </w:t>
      </w:r>
      <w:r w:rsidR="00592223">
        <w:rPr>
          <w:rFonts w:ascii="Arial" w:hAnsi="Arial" w:cs="Arial"/>
          <w:bCs/>
        </w:rPr>
        <w:t>open to students</w:t>
      </w:r>
      <w:r w:rsidR="00422831">
        <w:rPr>
          <w:rFonts w:ascii="Arial" w:hAnsi="Arial" w:cs="Arial"/>
          <w:bCs/>
        </w:rPr>
        <w:t xml:space="preserve"> planning to study at </w:t>
      </w:r>
      <w:r w:rsidR="00AC0121">
        <w:rPr>
          <w:rFonts w:ascii="Arial" w:hAnsi="Arial" w:cs="Arial"/>
          <w:bCs/>
        </w:rPr>
        <w:t>Queen’s University</w:t>
      </w:r>
      <w:r w:rsidR="00FE40D9">
        <w:rPr>
          <w:rFonts w:ascii="Arial" w:hAnsi="Arial" w:cs="Arial"/>
          <w:bCs/>
        </w:rPr>
        <w:t>,</w:t>
      </w:r>
      <w:r w:rsidR="00AC0121">
        <w:rPr>
          <w:rFonts w:ascii="Arial" w:hAnsi="Arial" w:cs="Arial"/>
          <w:bCs/>
        </w:rPr>
        <w:t xml:space="preserve"> Belfast. </w:t>
      </w:r>
    </w:p>
    <w:p w:rsidR="00783893" w:rsidRDefault="009D1BCC" w:rsidP="009D1BCC">
      <w:pPr>
        <w:jc w:val="both"/>
        <w:outlineLvl w:val="0"/>
        <w:rPr>
          <w:rFonts w:ascii="Arial" w:hAnsi="Arial" w:cs="Arial"/>
          <w:bCs/>
        </w:rPr>
      </w:pPr>
      <w:r>
        <w:rPr>
          <w:rFonts w:ascii="Arial" w:hAnsi="Arial" w:cs="Arial"/>
          <w:bCs/>
        </w:rPr>
        <w:t xml:space="preserve">Lloyds Scholars offers talented undergraduates at its nine partner universities financial support, paid internships, professional mentoring and a wealth of opportunities to develop their employability skills. </w:t>
      </w:r>
    </w:p>
    <w:p w:rsidR="0027609A" w:rsidRPr="00322B48" w:rsidRDefault="00CE3514" w:rsidP="009D1BCC">
      <w:pPr>
        <w:jc w:val="both"/>
        <w:outlineLvl w:val="0"/>
        <w:rPr>
          <w:rFonts w:ascii="Arial" w:hAnsi="Arial" w:cs="Arial"/>
          <w:bCs/>
        </w:rPr>
      </w:pPr>
      <w:r w:rsidRPr="00CE3514">
        <w:rPr>
          <w:rFonts w:ascii="Arial" w:hAnsi="Arial" w:cs="Arial"/>
          <w:bCs/>
        </w:rPr>
        <w:t xml:space="preserve">Now entering its sixth year, a </w:t>
      </w:r>
      <w:r w:rsidR="00A27BC9">
        <w:rPr>
          <w:rFonts w:ascii="Arial" w:hAnsi="Arial" w:cs="Arial"/>
          <w:bCs/>
        </w:rPr>
        <w:t xml:space="preserve">recent </w:t>
      </w:r>
      <w:r w:rsidRPr="00CE3514">
        <w:rPr>
          <w:rFonts w:ascii="Arial" w:hAnsi="Arial" w:cs="Arial"/>
          <w:bCs/>
        </w:rPr>
        <w:t xml:space="preserve">survey </w:t>
      </w:r>
      <w:r w:rsidR="00422831">
        <w:rPr>
          <w:rFonts w:ascii="Arial" w:hAnsi="Arial" w:cs="Arial"/>
          <w:bCs/>
        </w:rPr>
        <w:t xml:space="preserve">of </w:t>
      </w:r>
      <w:r w:rsidR="00A27BC9">
        <w:rPr>
          <w:rFonts w:ascii="Arial" w:hAnsi="Arial" w:cs="Arial"/>
          <w:bCs/>
        </w:rPr>
        <w:t xml:space="preserve">the 600+ </w:t>
      </w:r>
      <w:r w:rsidR="00422831">
        <w:rPr>
          <w:rFonts w:ascii="Arial" w:hAnsi="Arial" w:cs="Arial"/>
          <w:bCs/>
        </w:rPr>
        <w:t xml:space="preserve">past and present </w:t>
      </w:r>
      <w:r w:rsidR="00FE40D9">
        <w:rPr>
          <w:rFonts w:ascii="Arial" w:hAnsi="Arial" w:cs="Arial"/>
          <w:bCs/>
        </w:rPr>
        <w:t xml:space="preserve">Lloyds </w:t>
      </w:r>
      <w:r w:rsidRPr="00CE3514">
        <w:rPr>
          <w:rFonts w:ascii="Arial" w:hAnsi="Arial" w:cs="Arial"/>
          <w:bCs/>
        </w:rPr>
        <w:t xml:space="preserve">Scholars </w:t>
      </w:r>
      <w:r w:rsidR="00FE40D9">
        <w:rPr>
          <w:rFonts w:ascii="Arial" w:hAnsi="Arial" w:cs="Arial"/>
          <w:bCs/>
        </w:rPr>
        <w:t>demonstrates that the Group’s investment in education and skills, as part of its commitment to Help Britain Prosper, has had a significant social impact and made a considerable difference to young people’s employability</w:t>
      </w:r>
      <w:r w:rsidR="00322B48">
        <w:rPr>
          <w:rFonts w:ascii="Arial" w:hAnsi="Arial" w:cs="Arial"/>
          <w:bCs/>
        </w:rPr>
        <w:t>:</w:t>
      </w:r>
    </w:p>
    <w:p w:rsidR="00322B48" w:rsidRPr="00AC0121" w:rsidRDefault="00322B48" w:rsidP="00FE40D9">
      <w:pPr>
        <w:pStyle w:val="ListParagraph"/>
        <w:numPr>
          <w:ilvl w:val="0"/>
          <w:numId w:val="9"/>
        </w:numPr>
        <w:jc w:val="both"/>
        <w:outlineLvl w:val="0"/>
        <w:rPr>
          <w:rFonts w:ascii="Arial" w:hAnsi="Arial" w:cs="Arial"/>
          <w:bCs/>
        </w:rPr>
      </w:pPr>
      <w:r w:rsidRPr="00824AE9">
        <w:rPr>
          <w:rFonts w:ascii="Arial" w:hAnsi="Arial" w:cs="Arial"/>
          <w:bCs/>
        </w:rPr>
        <w:t>94% say the programme improved their employability skills and increased their abilit</w:t>
      </w:r>
      <w:r>
        <w:rPr>
          <w:rFonts w:ascii="Arial" w:hAnsi="Arial" w:cs="Arial"/>
          <w:bCs/>
        </w:rPr>
        <w:t xml:space="preserve">y to pursue a successful career </w:t>
      </w:r>
      <w:r w:rsidRPr="00824AE9">
        <w:rPr>
          <w:rFonts w:ascii="Arial" w:hAnsi="Arial" w:cs="Arial"/>
          <w:bCs/>
          <w:vertAlign w:val="superscript"/>
        </w:rPr>
        <w:t>ii</w:t>
      </w:r>
    </w:p>
    <w:p w:rsidR="00322B48" w:rsidRPr="00422831" w:rsidRDefault="00322B48" w:rsidP="00FE40D9">
      <w:pPr>
        <w:pStyle w:val="ListParagraph"/>
        <w:numPr>
          <w:ilvl w:val="0"/>
          <w:numId w:val="9"/>
        </w:numPr>
        <w:outlineLvl w:val="0"/>
        <w:rPr>
          <w:rFonts w:ascii="Arial" w:hAnsi="Arial" w:cs="Arial"/>
          <w:bCs/>
        </w:rPr>
      </w:pPr>
      <w:r w:rsidRPr="00422831">
        <w:rPr>
          <w:rFonts w:ascii="Arial" w:hAnsi="Arial" w:cs="Arial"/>
          <w:bCs/>
        </w:rPr>
        <w:t xml:space="preserve">91% are employed </w:t>
      </w:r>
      <w:r w:rsidR="00104161">
        <w:rPr>
          <w:rFonts w:ascii="Arial" w:hAnsi="Arial" w:cs="Arial"/>
          <w:bCs/>
        </w:rPr>
        <w:t xml:space="preserve">or in further study </w:t>
      </w:r>
      <w:r w:rsidRPr="00422831">
        <w:rPr>
          <w:rFonts w:ascii="Arial" w:hAnsi="Arial" w:cs="Arial"/>
          <w:bCs/>
        </w:rPr>
        <w:t>within six months of graduating</w:t>
      </w:r>
      <w:r w:rsidRPr="00422831">
        <w:rPr>
          <w:rFonts w:ascii="Arial" w:hAnsi="Arial" w:cs="Arial"/>
          <w:bCs/>
          <w:vertAlign w:val="superscript"/>
        </w:rPr>
        <w:t>.</w:t>
      </w:r>
      <w:r>
        <w:rPr>
          <w:rFonts w:ascii="Arial" w:hAnsi="Arial" w:cs="Arial"/>
          <w:bCs/>
          <w:vertAlign w:val="superscript"/>
        </w:rPr>
        <w:t xml:space="preserve"> </w:t>
      </w:r>
      <w:r w:rsidRPr="00422831">
        <w:rPr>
          <w:rFonts w:ascii="Arial" w:hAnsi="Arial" w:cs="Arial"/>
          <w:bCs/>
          <w:vertAlign w:val="superscript"/>
        </w:rPr>
        <w:endnoteReference w:id="1"/>
      </w:r>
    </w:p>
    <w:p w:rsidR="00322B48" w:rsidRPr="00422831" w:rsidRDefault="00322B48" w:rsidP="00FE40D9">
      <w:pPr>
        <w:pStyle w:val="ListParagraph"/>
        <w:numPr>
          <w:ilvl w:val="0"/>
          <w:numId w:val="9"/>
        </w:numPr>
        <w:jc w:val="both"/>
        <w:outlineLvl w:val="0"/>
        <w:rPr>
          <w:rFonts w:ascii="Arial" w:hAnsi="Arial" w:cs="Arial"/>
          <w:bCs/>
        </w:rPr>
      </w:pPr>
      <w:r w:rsidRPr="00824AE9">
        <w:rPr>
          <w:rFonts w:ascii="Arial" w:hAnsi="Arial" w:cs="Arial"/>
          <w:bCs/>
        </w:rPr>
        <w:t>87% say that the programme has made them feel m</w:t>
      </w:r>
      <w:r>
        <w:rPr>
          <w:rFonts w:ascii="Arial" w:hAnsi="Arial" w:cs="Arial"/>
          <w:bCs/>
        </w:rPr>
        <w:t xml:space="preserve">ore positive about their future </w:t>
      </w:r>
      <w:r w:rsidRPr="00824AE9">
        <w:rPr>
          <w:rFonts w:ascii="Arial" w:hAnsi="Arial" w:cs="Arial"/>
          <w:bCs/>
          <w:vertAlign w:val="superscript"/>
        </w:rPr>
        <w:t>ii</w:t>
      </w:r>
      <w:r>
        <w:rPr>
          <w:rFonts w:ascii="Arial" w:hAnsi="Arial" w:cs="Arial"/>
          <w:bCs/>
          <w:vertAlign w:val="superscript"/>
        </w:rPr>
        <w:t xml:space="preserve">  </w:t>
      </w:r>
    </w:p>
    <w:p w:rsidR="00FE40D9" w:rsidRDefault="00104161" w:rsidP="00A27BC9">
      <w:pPr>
        <w:pStyle w:val="ListParagraph"/>
        <w:numPr>
          <w:ilvl w:val="0"/>
          <w:numId w:val="9"/>
        </w:numPr>
        <w:jc w:val="both"/>
        <w:outlineLvl w:val="0"/>
        <w:rPr>
          <w:rFonts w:ascii="Arial" w:hAnsi="Arial" w:cs="Arial"/>
          <w:bCs/>
        </w:rPr>
      </w:pPr>
      <w:r>
        <w:rPr>
          <w:rFonts w:ascii="Arial" w:hAnsi="Arial" w:cs="Arial"/>
          <w:bCs/>
        </w:rPr>
        <w:t>Over half</w:t>
      </w:r>
      <w:r w:rsidR="00FE40D9">
        <w:rPr>
          <w:rFonts w:ascii="Arial" w:hAnsi="Arial" w:cs="Arial"/>
          <w:bCs/>
        </w:rPr>
        <w:t xml:space="preserve"> would have chosen a different career path to the one they are on now, had it not been for the scholarship </w:t>
      </w:r>
      <w:r w:rsidR="00FE40D9" w:rsidRPr="00FE40D9">
        <w:rPr>
          <w:rFonts w:ascii="Arial" w:hAnsi="Arial" w:cs="Arial"/>
          <w:bCs/>
          <w:vertAlign w:val="superscript"/>
        </w:rPr>
        <w:t>i</w:t>
      </w:r>
    </w:p>
    <w:p w:rsidR="00A27BC9" w:rsidRDefault="00A27BC9" w:rsidP="00A27BC9">
      <w:pPr>
        <w:pStyle w:val="ListParagraph"/>
        <w:numPr>
          <w:ilvl w:val="0"/>
          <w:numId w:val="9"/>
        </w:numPr>
        <w:jc w:val="both"/>
        <w:outlineLvl w:val="0"/>
        <w:rPr>
          <w:rFonts w:ascii="Arial" w:hAnsi="Arial" w:cs="Arial"/>
          <w:bCs/>
        </w:rPr>
      </w:pPr>
      <w:r>
        <w:rPr>
          <w:rFonts w:ascii="Arial" w:hAnsi="Arial" w:cs="Arial"/>
          <w:bCs/>
        </w:rPr>
        <w:t>£21 million of social value has been created by the programme</w:t>
      </w:r>
      <w:r>
        <w:rPr>
          <w:rStyle w:val="EndnoteReference"/>
          <w:rFonts w:ascii="Arial" w:hAnsi="Arial" w:cs="Arial"/>
          <w:bCs/>
        </w:rPr>
        <w:endnoteReference w:id="2"/>
      </w:r>
    </w:p>
    <w:p w:rsidR="00A27BC9" w:rsidRPr="00A27BC9" w:rsidRDefault="00A27BC9" w:rsidP="00A27BC9">
      <w:pPr>
        <w:pStyle w:val="ListParagraph"/>
        <w:numPr>
          <w:ilvl w:val="0"/>
          <w:numId w:val="9"/>
        </w:numPr>
        <w:jc w:val="both"/>
        <w:outlineLvl w:val="0"/>
        <w:rPr>
          <w:rFonts w:ascii="Arial" w:hAnsi="Arial" w:cs="Arial"/>
          <w:bCs/>
        </w:rPr>
      </w:pPr>
      <w:r>
        <w:rPr>
          <w:rFonts w:ascii="Arial" w:hAnsi="Arial" w:cs="Arial"/>
          <w:bCs/>
        </w:rPr>
        <w:t>Scholars typically earn £13,000 more than the average graduate, one year after graduating</w:t>
      </w:r>
      <w:r w:rsidR="00FE40D9">
        <w:rPr>
          <w:rFonts w:ascii="Arial" w:hAnsi="Arial" w:cs="Arial"/>
          <w:bCs/>
        </w:rPr>
        <w:t xml:space="preserve"> </w:t>
      </w:r>
      <w:r w:rsidR="00FE40D9" w:rsidRPr="00FE40D9">
        <w:rPr>
          <w:rFonts w:ascii="Arial" w:hAnsi="Arial" w:cs="Arial"/>
          <w:bCs/>
          <w:vertAlign w:val="superscript"/>
        </w:rPr>
        <w:t>iii</w:t>
      </w:r>
    </w:p>
    <w:p w:rsidR="0027609A" w:rsidRDefault="009D1BCC" w:rsidP="00783893">
      <w:pPr>
        <w:jc w:val="both"/>
        <w:outlineLvl w:val="0"/>
        <w:rPr>
          <w:rFonts w:ascii="Arial" w:hAnsi="Arial" w:cs="Arial"/>
          <w:bCs/>
        </w:rPr>
      </w:pPr>
      <w:r>
        <w:rPr>
          <w:rFonts w:ascii="Arial" w:hAnsi="Arial" w:cs="Arial"/>
          <w:bCs/>
        </w:rPr>
        <w:t xml:space="preserve">The benefits of </w:t>
      </w:r>
      <w:r w:rsidR="00783893">
        <w:rPr>
          <w:rFonts w:ascii="Arial" w:hAnsi="Arial" w:cs="Arial"/>
          <w:bCs/>
        </w:rPr>
        <w:t>being a</w:t>
      </w:r>
      <w:r>
        <w:rPr>
          <w:rFonts w:ascii="Arial" w:hAnsi="Arial" w:cs="Arial"/>
          <w:bCs/>
        </w:rPr>
        <w:t xml:space="preserve"> Lloyds Scholar are</w:t>
      </w:r>
      <w:r w:rsidR="0027609A">
        <w:rPr>
          <w:rFonts w:ascii="Arial" w:hAnsi="Arial" w:cs="Arial"/>
          <w:bCs/>
        </w:rPr>
        <w:t>:</w:t>
      </w:r>
    </w:p>
    <w:p w:rsidR="00592223" w:rsidRDefault="00CE3514" w:rsidP="00592223">
      <w:pPr>
        <w:pStyle w:val="ListParagraph"/>
        <w:numPr>
          <w:ilvl w:val="0"/>
          <w:numId w:val="7"/>
        </w:numPr>
        <w:jc w:val="both"/>
        <w:outlineLvl w:val="0"/>
        <w:rPr>
          <w:rFonts w:ascii="Arial" w:hAnsi="Arial" w:cs="Arial"/>
          <w:bCs/>
        </w:rPr>
      </w:pPr>
      <w:r w:rsidRPr="008A43AE">
        <w:rPr>
          <w:rFonts w:ascii="Arial" w:hAnsi="Arial" w:cs="Arial"/>
          <w:bCs/>
        </w:rPr>
        <w:t>A dedicated mentor from Lloyds Banking Group through</w:t>
      </w:r>
      <w:r>
        <w:rPr>
          <w:rFonts w:ascii="Arial" w:hAnsi="Arial" w:cs="Arial"/>
          <w:bCs/>
        </w:rPr>
        <w:t xml:space="preserve">out their time at University </w:t>
      </w:r>
    </w:p>
    <w:p w:rsidR="00CE3514" w:rsidRDefault="00CE3514" w:rsidP="00592223">
      <w:pPr>
        <w:pStyle w:val="ListParagraph"/>
        <w:numPr>
          <w:ilvl w:val="1"/>
          <w:numId w:val="7"/>
        </w:numPr>
        <w:jc w:val="both"/>
        <w:outlineLvl w:val="0"/>
        <w:rPr>
          <w:rFonts w:ascii="Arial" w:hAnsi="Arial" w:cs="Arial"/>
          <w:bCs/>
        </w:rPr>
      </w:pPr>
      <w:r>
        <w:rPr>
          <w:rFonts w:ascii="Arial" w:hAnsi="Arial" w:cs="Arial"/>
          <w:bCs/>
        </w:rPr>
        <w:t>8</w:t>
      </w:r>
      <w:r w:rsidRPr="008A43AE">
        <w:rPr>
          <w:rFonts w:ascii="Arial" w:hAnsi="Arial" w:cs="Arial"/>
          <w:bCs/>
        </w:rPr>
        <w:t xml:space="preserve">4% of those on the programme list </w:t>
      </w:r>
      <w:r>
        <w:rPr>
          <w:rFonts w:ascii="Arial" w:hAnsi="Arial" w:cs="Arial"/>
          <w:bCs/>
        </w:rPr>
        <w:t>opportunities to learn from</w:t>
      </w:r>
      <w:r w:rsidRPr="008A43AE">
        <w:rPr>
          <w:rFonts w:ascii="Arial" w:hAnsi="Arial" w:cs="Arial"/>
          <w:bCs/>
        </w:rPr>
        <w:t xml:space="preserve"> colleague</w:t>
      </w:r>
      <w:r>
        <w:rPr>
          <w:rFonts w:ascii="Arial" w:hAnsi="Arial" w:cs="Arial"/>
          <w:bCs/>
        </w:rPr>
        <w:t>s</w:t>
      </w:r>
      <w:r w:rsidRPr="008A43AE">
        <w:rPr>
          <w:rFonts w:ascii="Arial" w:hAnsi="Arial" w:cs="Arial"/>
          <w:bCs/>
        </w:rPr>
        <w:t xml:space="preserve"> as a benefit of the programme </w:t>
      </w:r>
      <w:r w:rsidRPr="00824AE9">
        <w:rPr>
          <w:rFonts w:ascii="Arial" w:hAnsi="Arial" w:cs="Arial"/>
          <w:bCs/>
          <w:vertAlign w:val="superscript"/>
        </w:rPr>
        <w:t>ii</w:t>
      </w:r>
    </w:p>
    <w:p w:rsidR="00592223" w:rsidRDefault="00CE3514" w:rsidP="00CE3514">
      <w:pPr>
        <w:pStyle w:val="ListParagraph"/>
        <w:numPr>
          <w:ilvl w:val="0"/>
          <w:numId w:val="7"/>
        </w:numPr>
        <w:jc w:val="both"/>
        <w:outlineLvl w:val="0"/>
        <w:rPr>
          <w:rFonts w:ascii="Arial" w:hAnsi="Arial" w:cs="Arial"/>
          <w:bCs/>
        </w:rPr>
      </w:pPr>
      <w:r w:rsidRPr="008A43AE">
        <w:rPr>
          <w:rFonts w:ascii="Arial" w:hAnsi="Arial" w:cs="Arial"/>
          <w:bCs/>
        </w:rPr>
        <w:t>Financial support to help them through university life</w:t>
      </w:r>
    </w:p>
    <w:p w:rsidR="00CE3514" w:rsidRPr="008A43AE" w:rsidRDefault="00CE3514" w:rsidP="00592223">
      <w:pPr>
        <w:pStyle w:val="ListParagraph"/>
        <w:numPr>
          <w:ilvl w:val="1"/>
          <w:numId w:val="7"/>
        </w:numPr>
        <w:jc w:val="both"/>
        <w:outlineLvl w:val="0"/>
        <w:rPr>
          <w:rFonts w:ascii="Arial" w:hAnsi="Arial" w:cs="Arial"/>
          <w:bCs/>
        </w:rPr>
      </w:pPr>
      <w:r>
        <w:rPr>
          <w:rFonts w:ascii="Arial" w:hAnsi="Arial" w:cs="Arial"/>
          <w:bCs/>
        </w:rPr>
        <w:t xml:space="preserve">99% say this has been a valuable factor in the programme </w:t>
      </w:r>
      <w:r w:rsidRPr="00824AE9">
        <w:rPr>
          <w:rFonts w:ascii="Arial" w:hAnsi="Arial" w:cs="Arial"/>
          <w:bCs/>
          <w:vertAlign w:val="superscript"/>
        </w:rPr>
        <w:t>ii</w:t>
      </w:r>
    </w:p>
    <w:p w:rsidR="00592223" w:rsidRDefault="00CE3514" w:rsidP="00422831">
      <w:pPr>
        <w:pStyle w:val="ListParagraph"/>
        <w:numPr>
          <w:ilvl w:val="0"/>
          <w:numId w:val="7"/>
        </w:numPr>
        <w:jc w:val="both"/>
        <w:outlineLvl w:val="0"/>
        <w:rPr>
          <w:rFonts w:ascii="Arial" w:hAnsi="Arial" w:cs="Arial"/>
          <w:bCs/>
        </w:rPr>
      </w:pPr>
      <w:r w:rsidRPr="008A43AE">
        <w:rPr>
          <w:rFonts w:ascii="Arial" w:hAnsi="Arial" w:cs="Arial"/>
          <w:bCs/>
        </w:rPr>
        <w:t xml:space="preserve">Two </w:t>
      </w:r>
      <w:r>
        <w:rPr>
          <w:rFonts w:ascii="Arial" w:hAnsi="Arial" w:cs="Arial"/>
          <w:bCs/>
        </w:rPr>
        <w:t xml:space="preserve">paid </w:t>
      </w:r>
      <w:r w:rsidRPr="008A43AE">
        <w:rPr>
          <w:rFonts w:ascii="Arial" w:hAnsi="Arial" w:cs="Arial"/>
          <w:bCs/>
        </w:rPr>
        <w:t xml:space="preserve">summer internships </w:t>
      </w:r>
      <w:r w:rsidR="00592223">
        <w:rPr>
          <w:rFonts w:ascii="Arial" w:hAnsi="Arial" w:cs="Arial"/>
          <w:bCs/>
        </w:rPr>
        <w:t>within Lloyds Banking Group</w:t>
      </w:r>
    </w:p>
    <w:p w:rsidR="00CE3514" w:rsidRDefault="00E1439E" w:rsidP="00592223">
      <w:pPr>
        <w:pStyle w:val="ListParagraph"/>
        <w:numPr>
          <w:ilvl w:val="1"/>
          <w:numId w:val="7"/>
        </w:numPr>
        <w:jc w:val="both"/>
        <w:outlineLvl w:val="0"/>
        <w:rPr>
          <w:rFonts w:ascii="Arial" w:hAnsi="Arial" w:cs="Arial"/>
          <w:bCs/>
        </w:rPr>
      </w:pPr>
      <w:r>
        <w:rPr>
          <w:rFonts w:ascii="Arial" w:hAnsi="Arial" w:cs="Arial"/>
          <w:bCs/>
        </w:rPr>
        <w:t>98</w:t>
      </w:r>
      <w:r w:rsidR="00CE3514" w:rsidRPr="008A43AE">
        <w:rPr>
          <w:rFonts w:ascii="Arial" w:hAnsi="Arial" w:cs="Arial"/>
          <w:bCs/>
        </w:rPr>
        <w:t>% feel that the internships had a positive impact on their employability skills</w:t>
      </w:r>
      <w:r w:rsidR="00CE3514">
        <w:rPr>
          <w:rFonts w:ascii="Arial" w:hAnsi="Arial" w:cs="Arial"/>
          <w:bCs/>
        </w:rPr>
        <w:t xml:space="preserve"> </w:t>
      </w:r>
      <w:r w:rsidR="00CE3514" w:rsidRPr="00824AE9">
        <w:rPr>
          <w:rFonts w:ascii="Arial" w:hAnsi="Arial" w:cs="Arial"/>
          <w:bCs/>
          <w:vertAlign w:val="superscript"/>
        </w:rPr>
        <w:t>ii</w:t>
      </w:r>
    </w:p>
    <w:p w:rsidR="00CE3514" w:rsidRPr="00592223" w:rsidRDefault="00CE3514" w:rsidP="00592223">
      <w:pPr>
        <w:jc w:val="both"/>
        <w:outlineLvl w:val="0"/>
        <w:rPr>
          <w:rFonts w:ascii="Arial" w:hAnsi="Arial" w:cs="Arial"/>
          <w:bCs/>
        </w:rPr>
      </w:pPr>
      <w:r w:rsidRPr="00592223">
        <w:rPr>
          <w:rFonts w:ascii="Arial" w:hAnsi="Arial" w:cs="Arial"/>
          <w:bCs/>
        </w:rPr>
        <w:lastRenderedPageBreak/>
        <w:t>In return, all Scholars commit to volunteering at least 100 hours of skills based volunteering</w:t>
      </w:r>
      <w:r w:rsidR="00592223">
        <w:rPr>
          <w:rFonts w:ascii="Arial" w:hAnsi="Arial" w:cs="Arial"/>
          <w:bCs/>
        </w:rPr>
        <w:t xml:space="preserve"> per </w:t>
      </w:r>
      <w:r w:rsidR="00104161">
        <w:rPr>
          <w:rFonts w:ascii="Arial" w:hAnsi="Arial" w:cs="Arial"/>
          <w:bCs/>
        </w:rPr>
        <w:t xml:space="preserve">academic </w:t>
      </w:r>
      <w:r w:rsidR="00592223">
        <w:rPr>
          <w:rFonts w:ascii="Arial" w:hAnsi="Arial" w:cs="Arial"/>
          <w:bCs/>
        </w:rPr>
        <w:t>year</w:t>
      </w:r>
      <w:r w:rsidR="00104161">
        <w:rPr>
          <w:rFonts w:ascii="Arial" w:hAnsi="Arial" w:cs="Arial"/>
          <w:bCs/>
        </w:rPr>
        <w:t>, helping further support their employability prospects</w:t>
      </w:r>
      <w:r w:rsidRPr="00592223">
        <w:rPr>
          <w:rFonts w:ascii="Arial" w:hAnsi="Arial" w:cs="Arial"/>
          <w:bCs/>
        </w:rPr>
        <w:t xml:space="preserve">. </w:t>
      </w:r>
      <w:r w:rsidR="00104161">
        <w:rPr>
          <w:rFonts w:ascii="Arial" w:hAnsi="Arial" w:cs="Arial"/>
          <w:bCs/>
        </w:rPr>
        <w:t>Additionally, this</w:t>
      </w:r>
      <w:r w:rsidR="00104161" w:rsidRPr="00592223">
        <w:rPr>
          <w:rFonts w:ascii="Arial" w:hAnsi="Arial" w:cs="Arial"/>
          <w:bCs/>
        </w:rPr>
        <w:t xml:space="preserve"> </w:t>
      </w:r>
      <w:r w:rsidRPr="00592223">
        <w:rPr>
          <w:rFonts w:ascii="Arial" w:hAnsi="Arial" w:cs="Arial"/>
          <w:bCs/>
        </w:rPr>
        <w:t>is of great benefit to the local causes being supported</w:t>
      </w:r>
      <w:r w:rsidR="00592223">
        <w:rPr>
          <w:rFonts w:ascii="Arial" w:hAnsi="Arial" w:cs="Arial"/>
          <w:bCs/>
        </w:rPr>
        <w:t xml:space="preserve"> and</w:t>
      </w:r>
      <w:r w:rsidRPr="00592223">
        <w:rPr>
          <w:rFonts w:ascii="Arial" w:hAnsi="Arial" w:cs="Arial"/>
          <w:bCs/>
        </w:rPr>
        <w:t>, to date</w:t>
      </w:r>
      <w:r w:rsidR="00592223">
        <w:rPr>
          <w:rFonts w:ascii="Arial" w:hAnsi="Arial" w:cs="Arial"/>
          <w:bCs/>
        </w:rPr>
        <w:t>,</w:t>
      </w:r>
      <w:r w:rsidRPr="00592223">
        <w:rPr>
          <w:rFonts w:ascii="Arial" w:hAnsi="Arial" w:cs="Arial"/>
          <w:bCs/>
        </w:rPr>
        <w:t xml:space="preserve"> Scholars have contributed £1.2 million worth volunteering time to their local </w:t>
      </w:r>
      <w:r w:rsidR="00592223">
        <w:rPr>
          <w:rFonts w:ascii="Arial" w:hAnsi="Arial" w:cs="Arial"/>
          <w:bCs/>
        </w:rPr>
        <w:t>communities</w:t>
      </w:r>
      <w:r w:rsidR="00322B48">
        <w:rPr>
          <w:rFonts w:ascii="Arial" w:hAnsi="Arial" w:cs="Arial"/>
          <w:bCs/>
        </w:rPr>
        <w:t>.</w:t>
      </w:r>
      <w:r w:rsidRPr="00592223">
        <w:rPr>
          <w:rFonts w:ascii="Arial" w:hAnsi="Arial" w:cs="Arial"/>
          <w:bCs/>
          <w:vertAlign w:val="superscript"/>
        </w:rPr>
        <w:t xml:space="preserve"> ii</w:t>
      </w:r>
    </w:p>
    <w:p w:rsidR="00322B48" w:rsidRDefault="00322B48" w:rsidP="00F937D7">
      <w:pPr>
        <w:jc w:val="both"/>
        <w:outlineLvl w:val="0"/>
        <w:rPr>
          <w:rFonts w:ascii="Arial" w:hAnsi="Arial" w:cs="Arial"/>
          <w:bCs/>
        </w:rPr>
      </w:pPr>
      <w:r>
        <w:rPr>
          <w:rFonts w:ascii="Arial" w:hAnsi="Arial" w:cs="Arial"/>
          <w:bCs/>
        </w:rPr>
        <w:t>Katie Taylor, who graduated from Lloyds Scholars last year and who is now working at the Bank o</w:t>
      </w:r>
      <w:r w:rsidR="00F937D7">
        <w:rPr>
          <w:rFonts w:ascii="Arial" w:hAnsi="Arial" w:cs="Arial"/>
          <w:bCs/>
        </w:rPr>
        <w:t xml:space="preserve">f England said: “Without Lloyds Scholars I could not have done two London internships. Also, having the opportunity to have a mentor in such a senior position, as an 18-year old, was amazing.” </w:t>
      </w:r>
    </w:p>
    <w:p w:rsidR="00A27BC9" w:rsidRDefault="00CE3514" w:rsidP="00783893">
      <w:pPr>
        <w:jc w:val="both"/>
        <w:outlineLvl w:val="0"/>
        <w:rPr>
          <w:rFonts w:ascii="Arial" w:hAnsi="Arial" w:cs="Arial"/>
          <w:bCs/>
        </w:rPr>
      </w:pPr>
      <w:r w:rsidRPr="006B130F">
        <w:rPr>
          <w:rFonts w:ascii="Arial" w:hAnsi="Arial" w:cs="Arial"/>
          <w:bCs/>
        </w:rPr>
        <w:t>David Rowsell</w:t>
      </w:r>
      <w:r w:rsidR="008A43AE" w:rsidRPr="006B130F">
        <w:rPr>
          <w:rFonts w:ascii="Arial" w:hAnsi="Arial" w:cs="Arial"/>
          <w:bCs/>
        </w:rPr>
        <w:t xml:space="preserve">, Head of </w:t>
      </w:r>
      <w:r w:rsidR="00D447B2" w:rsidRPr="006B130F">
        <w:rPr>
          <w:rFonts w:ascii="Arial" w:hAnsi="Arial" w:cs="Arial"/>
          <w:bCs/>
        </w:rPr>
        <w:t>Education and Employability Programmes, Lloyds Banking Group</w:t>
      </w:r>
      <w:r w:rsidR="008A43AE" w:rsidRPr="006B130F">
        <w:rPr>
          <w:rFonts w:ascii="Arial" w:hAnsi="Arial" w:cs="Arial"/>
          <w:bCs/>
        </w:rPr>
        <w:t xml:space="preserve">, said: </w:t>
      </w:r>
      <w:r w:rsidR="009D1BCC" w:rsidRPr="006B130F">
        <w:rPr>
          <w:rFonts w:ascii="Arial" w:hAnsi="Arial" w:cs="Arial"/>
          <w:bCs/>
        </w:rPr>
        <w:t xml:space="preserve">“Lloyds Scholars has had a positive social impact </w:t>
      </w:r>
      <w:r w:rsidR="00783893" w:rsidRPr="006B130F">
        <w:rPr>
          <w:rFonts w:ascii="Arial" w:hAnsi="Arial" w:cs="Arial"/>
          <w:bCs/>
        </w:rPr>
        <w:t xml:space="preserve">on students and their communities </w:t>
      </w:r>
      <w:r w:rsidR="009D1BCC" w:rsidRPr="006B130F">
        <w:rPr>
          <w:rFonts w:ascii="Arial" w:hAnsi="Arial" w:cs="Arial"/>
          <w:bCs/>
        </w:rPr>
        <w:t>to date and we look forward to continuing this with the recruitment of</w:t>
      </w:r>
      <w:r w:rsidR="00783893" w:rsidRPr="006B130F">
        <w:rPr>
          <w:rFonts w:ascii="Arial" w:hAnsi="Arial" w:cs="Arial"/>
          <w:bCs/>
        </w:rPr>
        <w:t xml:space="preserve"> our sixth cohort</w:t>
      </w:r>
      <w:r w:rsidR="009D1BCC" w:rsidRPr="006B130F">
        <w:rPr>
          <w:rFonts w:ascii="Arial" w:hAnsi="Arial" w:cs="Arial"/>
          <w:bCs/>
        </w:rPr>
        <w:t>.</w:t>
      </w:r>
      <w:r w:rsidR="00172676" w:rsidRPr="006B130F">
        <w:rPr>
          <w:rFonts w:ascii="Arial" w:hAnsi="Arial" w:cs="Arial"/>
          <w:bCs/>
        </w:rPr>
        <w:t xml:space="preserve"> Th</w:t>
      </w:r>
      <w:r w:rsidR="00783893" w:rsidRPr="006B130F">
        <w:rPr>
          <w:rFonts w:ascii="Arial" w:hAnsi="Arial" w:cs="Arial"/>
          <w:bCs/>
        </w:rPr>
        <w:t>is</w:t>
      </w:r>
      <w:r w:rsidR="00172676" w:rsidRPr="006B130F">
        <w:rPr>
          <w:rFonts w:ascii="Arial" w:hAnsi="Arial" w:cs="Arial"/>
          <w:bCs/>
        </w:rPr>
        <w:t xml:space="preserve"> programme</w:t>
      </w:r>
      <w:r w:rsidR="00F937D7" w:rsidRPr="006B130F">
        <w:rPr>
          <w:rFonts w:ascii="Arial" w:hAnsi="Arial" w:cs="Arial"/>
          <w:bCs/>
        </w:rPr>
        <w:t xml:space="preserve"> is a key part of the Group’s commitment to helping Britain prosper, having committed to support over 1,185 undergraduates by 2020</w:t>
      </w:r>
      <w:r w:rsidR="00783893" w:rsidRPr="006B130F">
        <w:rPr>
          <w:rFonts w:ascii="Arial" w:hAnsi="Arial" w:cs="Arial"/>
          <w:bCs/>
        </w:rPr>
        <w:t>, and we welcome applications from all eligible students planning to study at one of our partner universities</w:t>
      </w:r>
      <w:r w:rsidR="006C7412" w:rsidRPr="006B130F">
        <w:rPr>
          <w:rFonts w:ascii="Arial" w:hAnsi="Arial" w:cs="Arial"/>
          <w:bCs/>
        </w:rPr>
        <w:t>.”</w:t>
      </w:r>
    </w:p>
    <w:p w:rsidR="00322B48" w:rsidRDefault="00592223" w:rsidP="006C7412">
      <w:pPr>
        <w:jc w:val="both"/>
        <w:outlineLvl w:val="0"/>
        <w:rPr>
          <w:rFonts w:ascii="Arial" w:hAnsi="Arial" w:cs="Arial"/>
          <w:bCs/>
        </w:rPr>
      </w:pPr>
      <w:r>
        <w:rPr>
          <w:rFonts w:ascii="Arial" w:hAnsi="Arial" w:cs="Arial"/>
          <w:bCs/>
        </w:rPr>
        <w:t>Applications are open from 03 – 2</w:t>
      </w:r>
      <w:r w:rsidR="00104161">
        <w:rPr>
          <w:rFonts w:ascii="Arial" w:hAnsi="Arial" w:cs="Arial"/>
          <w:bCs/>
        </w:rPr>
        <w:t>6</w:t>
      </w:r>
      <w:r>
        <w:rPr>
          <w:rFonts w:ascii="Arial" w:hAnsi="Arial" w:cs="Arial"/>
          <w:bCs/>
        </w:rPr>
        <w:t xml:space="preserve"> May</w:t>
      </w:r>
      <w:r w:rsidR="00322B48">
        <w:rPr>
          <w:rFonts w:ascii="Arial" w:hAnsi="Arial" w:cs="Arial"/>
          <w:bCs/>
        </w:rPr>
        <w:t xml:space="preserve"> 2017</w:t>
      </w:r>
      <w:r>
        <w:rPr>
          <w:rFonts w:ascii="Arial" w:hAnsi="Arial" w:cs="Arial"/>
          <w:bCs/>
        </w:rPr>
        <w:t>.</w:t>
      </w:r>
      <w:r w:rsidR="00322B48">
        <w:rPr>
          <w:rFonts w:ascii="Arial" w:hAnsi="Arial" w:cs="Arial"/>
          <w:bCs/>
        </w:rPr>
        <w:t xml:space="preserve"> </w:t>
      </w:r>
      <w:r w:rsidR="00304C46" w:rsidRPr="007A5E8F">
        <w:rPr>
          <w:rFonts w:ascii="Arial" w:hAnsi="Arial" w:cs="Arial"/>
          <w:bCs/>
        </w:rPr>
        <w:t>To be eligible</w:t>
      </w:r>
      <w:r w:rsidR="00304C46">
        <w:rPr>
          <w:rFonts w:ascii="Arial" w:hAnsi="Arial" w:cs="Arial"/>
          <w:bCs/>
        </w:rPr>
        <w:t>,</w:t>
      </w:r>
      <w:r w:rsidR="00304C46" w:rsidRPr="007A5E8F">
        <w:rPr>
          <w:rFonts w:ascii="Arial" w:hAnsi="Arial" w:cs="Arial"/>
          <w:bCs/>
        </w:rPr>
        <w:t xml:space="preserve"> students must come from homes where household income is under £25,000 and have </w:t>
      </w:r>
      <w:r w:rsidR="00104161">
        <w:rPr>
          <w:rFonts w:ascii="Arial" w:hAnsi="Arial" w:cs="Arial"/>
          <w:bCs/>
        </w:rPr>
        <w:t>been offered a conditional place</w:t>
      </w:r>
      <w:r w:rsidR="00A769AB">
        <w:rPr>
          <w:rFonts w:ascii="Arial" w:hAnsi="Arial" w:cs="Arial"/>
          <w:bCs/>
        </w:rPr>
        <w:t xml:space="preserve"> at one of the</w:t>
      </w:r>
      <w:r w:rsidR="00322B48">
        <w:rPr>
          <w:rFonts w:ascii="Arial" w:hAnsi="Arial" w:cs="Arial"/>
          <w:bCs/>
        </w:rPr>
        <w:t xml:space="preserve"> nine partner</w:t>
      </w:r>
      <w:r w:rsidR="00A769AB">
        <w:rPr>
          <w:rFonts w:ascii="Arial" w:hAnsi="Arial" w:cs="Arial"/>
          <w:bCs/>
        </w:rPr>
        <w:t xml:space="preserve"> u</w:t>
      </w:r>
      <w:r w:rsidR="00304C46" w:rsidRPr="007A5E8F">
        <w:rPr>
          <w:rFonts w:ascii="Arial" w:hAnsi="Arial" w:cs="Arial"/>
          <w:bCs/>
        </w:rPr>
        <w:t xml:space="preserve">niversities </w:t>
      </w:r>
      <w:r w:rsidR="00322B48">
        <w:rPr>
          <w:rFonts w:ascii="Arial" w:hAnsi="Arial" w:cs="Arial"/>
          <w:bCs/>
        </w:rPr>
        <w:t>involved</w:t>
      </w:r>
      <w:r w:rsidR="00304C46">
        <w:rPr>
          <w:rFonts w:ascii="Arial" w:hAnsi="Arial" w:cs="Arial"/>
          <w:bCs/>
        </w:rPr>
        <w:t xml:space="preserve">. </w:t>
      </w:r>
      <w:r w:rsidR="00304C46" w:rsidRPr="007A5E8F">
        <w:rPr>
          <w:rFonts w:ascii="Arial" w:hAnsi="Arial" w:cs="Arial"/>
          <w:bCs/>
        </w:rPr>
        <w:t xml:space="preserve"> </w:t>
      </w:r>
    </w:p>
    <w:p w:rsidR="00304C46" w:rsidRPr="007A5E8F" w:rsidRDefault="00304C46" w:rsidP="00322B48">
      <w:pPr>
        <w:jc w:val="both"/>
        <w:outlineLvl w:val="0"/>
        <w:rPr>
          <w:rFonts w:ascii="Arial" w:hAnsi="Arial" w:cs="Arial"/>
          <w:bCs/>
        </w:rPr>
      </w:pPr>
      <w:r w:rsidRPr="007A5E8F">
        <w:rPr>
          <w:rFonts w:ascii="Arial" w:hAnsi="Arial" w:cs="Arial"/>
          <w:bCs/>
        </w:rPr>
        <w:t xml:space="preserve">More information is available at </w:t>
      </w:r>
      <w:hyperlink r:id="rId10" w:history="1">
        <w:r w:rsidRPr="007A5E8F">
          <w:rPr>
            <w:rStyle w:val="Hyperlink"/>
            <w:rFonts w:ascii="Arial" w:hAnsi="Arial" w:cs="Arial"/>
            <w:bCs/>
          </w:rPr>
          <w:t>http://www.lloyds-scholars.com</w:t>
        </w:r>
      </w:hyperlink>
      <w:r w:rsidRPr="007A5E8F">
        <w:rPr>
          <w:rFonts w:ascii="Arial" w:hAnsi="Arial" w:cs="Arial"/>
          <w:bCs/>
        </w:rPr>
        <w:t>.</w:t>
      </w:r>
    </w:p>
    <w:p w:rsidR="00AC0121" w:rsidRPr="008C5117" w:rsidRDefault="00AC0121" w:rsidP="008F1DF0">
      <w:pPr>
        <w:spacing w:after="0"/>
        <w:rPr>
          <w:rFonts w:asciiTheme="minorBidi" w:hAnsiTheme="minorBidi" w:cstheme="minorBidi"/>
          <w:sz w:val="20"/>
          <w:szCs w:val="20"/>
        </w:rPr>
      </w:pPr>
      <w:r w:rsidRPr="008C5117">
        <w:rPr>
          <w:rFonts w:asciiTheme="minorBidi" w:hAnsiTheme="minorBidi" w:cstheme="minorBidi"/>
          <w:b/>
          <w:bCs/>
          <w:sz w:val="20"/>
          <w:szCs w:val="20"/>
        </w:rPr>
        <w:t>About Lloyds Scholars</w:t>
      </w:r>
    </w:p>
    <w:p w:rsidR="00AC0121" w:rsidRPr="008C5117" w:rsidRDefault="00AC0121" w:rsidP="00AC0121">
      <w:pPr>
        <w:spacing w:after="0"/>
        <w:rPr>
          <w:rFonts w:asciiTheme="minorBidi" w:hAnsiTheme="minorBidi" w:cstheme="minorBidi"/>
          <w:sz w:val="20"/>
          <w:szCs w:val="20"/>
        </w:rPr>
      </w:pPr>
    </w:p>
    <w:p w:rsidR="00AC0121" w:rsidRPr="008C5117" w:rsidRDefault="00AC0121" w:rsidP="00D77464">
      <w:pPr>
        <w:spacing w:after="0"/>
        <w:rPr>
          <w:rFonts w:asciiTheme="minorBidi" w:hAnsiTheme="minorBidi" w:cstheme="minorBidi"/>
          <w:sz w:val="20"/>
          <w:szCs w:val="20"/>
        </w:rPr>
      </w:pPr>
      <w:r w:rsidRPr="008C5117">
        <w:rPr>
          <w:rFonts w:asciiTheme="minorBidi" w:hAnsiTheme="minorBidi" w:cstheme="minorBidi"/>
          <w:sz w:val="20"/>
          <w:szCs w:val="20"/>
        </w:rPr>
        <w:t xml:space="preserve">To date, 600 Scholars have participated in the programme, including </w:t>
      </w:r>
      <w:r w:rsidR="00104161">
        <w:rPr>
          <w:rFonts w:asciiTheme="minorBidi" w:hAnsiTheme="minorBidi" w:cstheme="minorBidi"/>
          <w:sz w:val="20"/>
          <w:szCs w:val="20"/>
        </w:rPr>
        <w:t>156</w:t>
      </w:r>
      <w:r w:rsidR="00104161" w:rsidRPr="008C5117">
        <w:rPr>
          <w:rFonts w:asciiTheme="minorBidi" w:hAnsiTheme="minorBidi" w:cstheme="minorBidi"/>
          <w:sz w:val="20"/>
          <w:szCs w:val="20"/>
        </w:rPr>
        <w:t xml:space="preserve"> </w:t>
      </w:r>
      <w:r w:rsidRPr="008C5117">
        <w:rPr>
          <w:rFonts w:asciiTheme="minorBidi" w:hAnsiTheme="minorBidi" w:cstheme="minorBidi"/>
          <w:sz w:val="20"/>
          <w:szCs w:val="20"/>
        </w:rPr>
        <w:t xml:space="preserve">Scholars who have graduated and </w:t>
      </w:r>
      <w:r w:rsidRPr="00D77464">
        <w:rPr>
          <w:rFonts w:asciiTheme="minorBidi" w:hAnsiTheme="minorBidi" w:cstheme="minorBidi"/>
          <w:sz w:val="20"/>
          <w:szCs w:val="20"/>
        </w:rPr>
        <w:t>joined the Scholars Alumni Network. 632 internships have been completed since 2011</w:t>
      </w:r>
      <w:r w:rsidR="00D77464" w:rsidRPr="00D77464">
        <w:rPr>
          <w:rFonts w:asciiTheme="minorBidi" w:hAnsiTheme="minorBidi" w:cstheme="minorBidi"/>
          <w:sz w:val="20"/>
          <w:szCs w:val="20"/>
        </w:rPr>
        <w:t>.</w:t>
      </w:r>
    </w:p>
    <w:p w:rsidR="00D77464" w:rsidRDefault="00D77464" w:rsidP="00AC0121">
      <w:pPr>
        <w:spacing w:after="0"/>
        <w:rPr>
          <w:rFonts w:asciiTheme="minorBidi" w:hAnsiTheme="minorBidi" w:cstheme="minorBidi"/>
          <w:sz w:val="20"/>
          <w:szCs w:val="20"/>
        </w:rPr>
      </w:pPr>
    </w:p>
    <w:p w:rsidR="00AC0121" w:rsidRPr="008C5117" w:rsidRDefault="00AC0121" w:rsidP="00AC0121">
      <w:pPr>
        <w:spacing w:after="0"/>
        <w:rPr>
          <w:rFonts w:asciiTheme="minorBidi" w:hAnsiTheme="minorBidi" w:cstheme="minorBidi"/>
          <w:sz w:val="20"/>
          <w:szCs w:val="20"/>
        </w:rPr>
      </w:pPr>
      <w:r w:rsidRPr="008C5117">
        <w:rPr>
          <w:rFonts w:asciiTheme="minorBidi" w:hAnsiTheme="minorBidi" w:cstheme="minorBidi"/>
          <w:sz w:val="20"/>
          <w:szCs w:val="20"/>
        </w:rPr>
        <w:t>The nine partner universities are:</w:t>
      </w:r>
    </w:p>
    <w:p w:rsidR="00AC0121" w:rsidRPr="008C5117" w:rsidRDefault="00AC0121" w:rsidP="00AC0121">
      <w:pPr>
        <w:pStyle w:val="ListParagraph"/>
        <w:numPr>
          <w:ilvl w:val="0"/>
          <w:numId w:val="4"/>
        </w:numPr>
        <w:spacing w:after="0"/>
        <w:rPr>
          <w:rFonts w:asciiTheme="minorBidi" w:hAnsiTheme="minorBidi" w:cstheme="minorBidi"/>
          <w:sz w:val="20"/>
          <w:szCs w:val="20"/>
        </w:rPr>
      </w:pPr>
      <w:r w:rsidRPr="008C5117">
        <w:rPr>
          <w:rFonts w:asciiTheme="minorBidi" w:hAnsiTheme="minorBidi" w:cstheme="minorBidi"/>
          <w:sz w:val="20"/>
          <w:szCs w:val="20"/>
        </w:rPr>
        <w:t>University College London</w:t>
      </w:r>
    </w:p>
    <w:p w:rsidR="00AC0121" w:rsidRPr="008C5117" w:rsidRDefault="00AC0121" w:rsidP="00AC0121">
      <w:pPr>
        <w:pStyle w:val="ListParagraph"/>
        <w:numPr>
          <w:ilvl w:val="0"/>
          <w:numId w:val="4"/>
        </w:numPr>
        <w:spacing w:after="0"/>
        <w:rPr>
          <w:rFonts w:asciiTheme="minorBidi" w:hAnsiTheme="minorBidi" w:cstheme="minorBidi"/>
          <w:sz w:val="20"/>
          <w:szCs w:val="20"/>
        </w:rPr>
      </w:pPr>
      <w:r w:rsidRPr="008C5117">
        <w:rPr>
          <w:rFonts w:asciiTheme="minorBidi" w:hAnsiTheme="minorBidi" w:cstheme="minorBidi"/>
          <w:sz w:val="20"/>
          <w:szCs w:val="20"/>
        </w:rPr>
        <w:t>University of Bath</w:t>
      </w:r>
    </w:p>
    <w:p w:rsidR="00AC0121" w:rsidRPr="008C5117" w:rsidRDefault="00AC0121" w:rsidP="00AC0121">
      <w:pPr>
        <w:pStyle w:val="ListParagraph"/>
        <w:numPr>
          <w:ilvl w:val="0"/>
          <w:numId w:val="4"/>
        </w:numPr>
        <w:spacing w:after="0"/>
        <w:rPr>
          <w:rFonts w:asciiTheme="minorBidi" w:hAnsiTheme="minorBidi" w:cstheme="minorBidi"/>
          <w:sz w:val="20"/>
          <w:szCs w:val="20"/>
        </w:rPr>
      </w:pPr>
      <w:r w:rsidRPr="008C5117">
        <w:rPr>
          <w:rFonts w:asciiTheme="minorBidi" w:hAnsiTheme="minorBidi" w:cstheme="minorBidi"/>
          <w:sz w:val="20"/>
          <w:szCs w:val="20"/>
        </w:rPr>
        <w:t>University of Birmingham</w:t>
      </w:r>
    </w:p>
    <w:p w:rsidR="00AC0121" w:rsidRPr="008C5117" w:rsidRDefault="00AC0121" w:rsidP="00AC0121">
      <w:pPr>
        <w:pStyle w:val="ListParagraph"/>
        <w:numPr>
          <w:ilvl w:val="0"/>
          <w:numId w:val="4"/>
        </w:numPr>
        <w:spacing w:after="0"/>
        <w:rPr>
          <w:rFonts w:asciiTheme="minorBidi" w:hAnsiTheme="minorBidi" w:cstheme="minorBidi"/>
          <w:sz w:val="20"/>
          <w:szCs w:val="20"/>
        </w:rPr>
      </w:pPr>
      <w:r w:rsidRPr="008C5117">
        <w:rPr>
          <w:rFonts w:asciiTheme="minorBidi" w:hAnsiTheme="minorBidi" w:cstheme="minorBidi"/>
          <w:sz w:val="20"/>
          <w:szCs w:val="20"/>
        </w:rPr>
        <w:t>University of Bristol</w:t>
      </w:r>
    </w:p>
    <w:p w:rsidR="00AC0121" w:rsidRPr="008C5117" w:rsidRDefault="00AC0121" w:rsidP="00AC0121">
      <w:pPr>
        <w:pStyle w:val="ListParagraph"/>
        <w:numPr>
          <w:ilvl w:val="0"/>
          <w:numId w:val="4"/>
        </w:numPr>
        <w:spacing w:after="0"/>
        <w:rPr>
          <w:rFonts w:asciiTheme="minorBidi" w:hAnsiTheme="minorBidi" w:cstheme="minorBidi"/>
          <w:sz w:val="20"/>
          <w:szCs w:val="20"/>
        </w:rPr>
      </w:pPr>
      <w:r w:rsidRPr="008C5117">
        <w:rPr>
          <w:rFonts w:asciiTheme="minorBidi" w:hAnsiTheme="minorBidi" w:cstheme="minorBidi"/>
          <w:sz w:val="20"/>
          <w:szCs w:val="20"/>
        </w:rPr>
        <w:t>The University of Edinburgh</w:t>
      </w:r>
    </w:p>
    <w:p w:rsidR="00AC0121" w:rsidRPr="008C5117" w:rsidRDefault="00AC0121" w:rsidP="00AC0121">
      <w:pPr>
        <w:pStyle w:val="ListParagraph"/>
        <w:numPr>
          <w:ilvl w:val="0"/>
          <w:numId w:val="4"/>
        </w:numPr>
        <w:spacing w:after="0"/>
        <w:rPr>
          <w:rFonts w:asciiTheme="minorBidi" w:hAnsiTheme="minorBidi" w:cstheme="minorBidi"/>
          <w:sz w:val="20"/>
          <w:szCs w:val="20"/>
        </w:rPr>
      </w:pPr>
      <w:r w:rsidRPr="008C5117">
        <w:rPr>
          <w:rFonts w:asciiTheme="minorBidi" w:hAnsiTheme="minorBidi" w:cstheme="minorBidi"/>
          <w:sz w:val="20"/>
          <w:szCs w:val="20"/>
        </w:rPr>
        <w:t>University of Oxford</w:t>
      </w:r>
    </w:p>
    <w:p w:rsidR="00AC0121" w:rsidRPr="008C5117" w:rsidRDefault="00AC0121" w:rsidP="00AC0121">
      <w:pPr>
        <w:pStyle w:val="ListParagraph"/>
        <w:numPr>
          <w:ilvl w:val="0"/>
          <w:numId w:val="4"/>
        </w:numPr>
        <w:spacing w:after="0"/>
        <w:rPr>
          <w:rFonts w:asciiTheme="minorBidi" w:hAnsiTheme="minorBidi" w:cstheme="minorBidi"/>
          <w:sz w:val="20"/>
          <w:szCs w:val="20"/>
        </w:rPr>
      </w:pPr>
      <w:r w:rsidRPr="008C5117">
        <w:rPr>
          <w:rFonts w:asciiTheme="minorBidi" w:hAnsiTheme="minorBidi" w:cstheme="minorBidi"/>
          <w:sz w:val="20"/>
          <w:szCs w:val="20"/>
        </w:rPr>
        <w:t>The University of Sheffield</w:t>
      </w:r>
    </w:p>
    <w:p w:rsidR="00AC0121" w:rsidRPr="008C5117" w:rsidRDefault="00AC0121" w:rsidP="00AC0121">
      <w:pPr>
        <w:pStyle w:val="ListParagraph"/>
        <w:numPr>
          <w:ilvl w:val="0"/>
          <w:numId w:val="4"/>
        </w:numPr>
        <w:spacing w:after="0"/>
        <w:rPr>
          <w:rFonts w:asciiTheme="minorBidi" w:hAnsiTheme="minorBidi" w:cstheme="minorBidi"/>
          <w:sz w:val="20"/>
          <w:szCs w:val="20"/>
        </w:rPr>
      </w:pPr>
      <w:r w:rsidRPr="008C5117">
        <w:rPr>
          <w:rFonts w:asciiTheme="minorBidi" w:hAnsiTheme="minorBidi" w:cstheme="minorBidi"/>
          <w:sz w:val="20"/>
          <w:szCs w:val="20"/>
        </w:rPr>
        <w:t>The University of Warwick</w:t>
      </w:r>
    </w:p>
    <w:p w:rsidR="00AC0121" w:rsidRPr="008C5117" w:rsidRDefault="00AC0121" w:rsidP="00AC0121">
      <w:pPr>
        <w:pStyle w:val="ListParagraph"/>
        <w:numPr>
          <w:ilvl w:val="0"/>
          <w:numId w:val="4"/>
        </w:numPr>
        <w:spacing w:after="0"/>
        <w:rPr>
          <w:rFonts w:asciiTheme="minorBidi" w:hAnsiTheme="minorBidi" w:cstheme="minorBidi"/>
          <w:sz w:val="20"/>
          <w:szCs w:val="20"/>
        </w:rPr>
      </w:pPr>
      <w:r w:rsidRPr="008C5117">
        <w:rPr>
          <w:rFonts w:asciiTheme="minorBidi" w:hAnsiTheme="minorBidi" w:cstheme="minorBidi"/>
          <w:sz w:val="20"/>
          <w:szCs w:val="20"/>
        </w:rPr>
        <w:t>Queen’s University Belfast</w:t>
      </w:r>
    </w:p>
    <w:p w:rsidR="00AC0121" w:rsidRPr="008C5117" w:rsidRDefault="00AC0121" w:rsidP="00AC0121">
      <w:pPr>
        <w:spacing w:after="0"/>
        <w:rPr>
          <w:rFonts w:asciiTheme="minorBidi" w:hAnsiTheme="minorBidi" w:cstheme="minorBidi"/>
          <w:sz w:val="20"/>
          <w:szCs w:val="20"/>
        </w:rPr>
      </w:pPr>
    </w:p>
    <w:p w:rsidR="00AC0121" w:rsidRPr="008C5117" w:rsidRDefault="00AC0121" w:rsidP="00AC0121">
      <w:pPr>
        <w:spacing w:after="0"/>
        <w:rPr>
          <w:rFonts w:asciiTheme="minorBidi" w:hAnsiTheme="minorBidi" w:cstheme="minorBidi"/>
          <w:sz w:val="20"/>
          <w:szCs w:val="20"/>
        </w:rPr>
      </w:pPr>
      <w:r w:rsidRPr="008C5117">
        <w:rPr>
          <w:rFonts w:asciiTheme="minorBidi" w:hAnsiTheme="minorBidi" w:cstheme="minorBidi"/>
          <w:sz w:val="20"/>
          <w:szCs w:val="20"/>
        </w:rPr>
        <w:t>The Lloyds Scholars programme provides students with support for their academic and vocational development and offers a complete financial and support package including:</w:t>
      </w:r>
    </w:p>
    <w:p w:rsidR="00AC0121" w:rsidRPr="008C5117" w:rsidRDefault="00AC0121" w:rsidP="00AC0121">
      <w:pPr>
        <w:spacing w:after="0"/>
        <w:rPr>
          <w:rFonts w:asciiTheme="minorBidi" w:hAnsiTheme="minorBidi" w:cstheme="minorBidi"/>
          <w:sz w:val="20"/>
          <w:szCs w:val="20"/>
        </w:rPr>
      </w:pPr>
    </w:p>
    <w:p w:rsidR="00AC0121" w:rsidRPr="008C5117" w:rsidRDefault="00AC0121" w:rsidP="00AC0121">
      <w:pPr>
        <w:pStyle w:val="ListParagraph"/>
        <w:numPr>
          <w:ilvl w:val="0"/>
          <w:numId w:val="5"/>
        </w:numPr>
        <w:spacing w:after="0"/>
        <w:rPr>
          <w:rFonts w:asciiTheme="minorBidi" w:hAnsiTheme="minorBidi" w:cstheme="minorBidi"/>
          <w:sz w:val="20"/>
          <w:szCs w:val="20"/>
        </w:rPr>
      </w:pPr>
      <w:r w:rsidRPr="008C5117">
        <w:rPr>
          <w:rFonts w:asciiTheme="minorBidi" w:hAnsiTheme="minorBidi" w:cstheme="minorBidi"/>
          <w:sz w:val="20"/>
          <w:szCs w:val="20"/>
        </w:rPr>
        <w:t>Annual bursary of £1,000 to help with the cost of living and study materials</w:t>
      </w:r>
    </w:p>
    <w:p w:rsidR="00AC0121" w:rsidRPr="008C5117" w:rsidRDefault="00AC0121" w:rsidP="00AC0121">
      <w:pPr>
        <w:pStyle w:val="ListParagraph"/>
        <w:numPr>
          <w:ilvl w:val="0"/>
          <w:numId w:val="5"/>
        </w:numPr>
        <w:spacing w:after="0"/>
        <w:rPr>
          <w:rFonts w:asciiTheme="minorBidi" w:hAnsiTheme="minorBidi" w:cstheme="minorBidi"/>
          <w:sz w:val="20"/>
          <w:szCs w:val="20"/>
        </w:rPr>
      </w:pPr>
      <w:r w:rsidRPr="008C5117">
        <w:rPr>
          <w:rFonts w:asciiTheme="minorBidi" w:hAnsiTheme="minorBidi" w:cstheme="minorBidi"/>
          <w:sz w:val="20"/>
          <w:szCs w:val="20"/>
        </w:rPr>
        <w:t>Additional annual cash awards based on academic achievement</w:t>
      </w:r>
    </w:p>
    <w:p w:rsidR="00AC0121" w:rsidRPr="008C5117" w:rsidRDefault="00AC0121" w:rsidP="00AC0121">
      <w:pPr>
        <w:pStyle w:val="ListParagraph"/>
        <w:numPr>
          <w:ilvl w:val="0"/>
          <w:numId w:val="5"/>
        </w:numPr>
        <w:spacing w:after="0"/>
        <w:rPr>
          <w:rFonts w:asciiTheme="minorBidi" w:hAnsiTheme="minorBidi" w:cstheme="minorBidi"/>
          <w:sz w:val="20"/>
          <w:szCs w:val="20"/>
        </w:rPr>
      </w:pPr>
      <w:r w:rsidRPr="008C5117">
        <w:rPr>
          <w:rFonts w:asciiTheme="minorBidi" w:hAnsiTheme="minorBidi" w:cstheme="minorBidi"/>
          <w:sz w:val="20"/>
          <w:szCs w:val="20"/>
        </w:rPr>
        <w:t xml:space="preserve">End of course excellence awards </w:t>
      </w:r>
    </w:p>
    <w:p w:rsidR="00AC0121" w:rsidRPr="008C5117" w:rsidRDefault="00AC0121" w:rsidP="00AC0121">
      <w:pPr>
        <w:pStyle w:val="ListParagraph"/>
        <w:numPr>
          <w:ilvl w:val="0"/>
          <w:numId w:val="5"/>
        </w:numPr>
        <w:spacing w:after="0"/>
        <w:rPr>
          <w:rFonts w:asciiTheme="minorBidi" w:hAnsiTheme="minorBidi" w:cstheme="minorBidi"/>
          <w:sz w:val="20"/>
          <w:szCs w:val="20"/>
        </w:rPr>
      </w:pPr>
      <w:r w:rsidRPr="008C5117">
        <w:rPr>
          <w:rFonts w:asciiTheme="minorBidi" w:hAnsiTheme="minorBidi" w:cstheme="minorBidi"/>
          <w:sz w:val="20"/>
          <w:szCs w:val="20"/>
        </w:rPr>
        <w:t>Two paid internships with the Group (salary pro-rata £18,000)</w:t>
      </w:r>
    </w:p>
    <w:p w:rsidR="00AC0121" w:rsidRPr="008C5117" w:rsidRDefault="00AC0121" w:rsidP="00AC0121">
      <w:pPr>
        <w:pStyle w:val="ListParagraph"/>
        <w:numPr>
          <w:ilvl w:val="0"/>
          <w:numId w:val="5"/>
        </w:numPr>
        <w:spacing w:after="0"/>
        <w:rPr>
          <w:rFonts w:asciiTheme="minorBidi" w:hAnsiTheme="minorBidi" w:cstheme="minorBidi"/>
          <w:sz w:val="20"/>
          <w:szCs w:val="20"/>
        </w:rPr>
      </w:pPr>
      <w:r w:rsidRPr="008C5117">
        <w:rPr>
          <w:rFonts w:asciiTheme="minorBidi" w:hAnsiTheme="minorBidi" w:cstheme="minorBidi"/>
          <w:sz w:val="20"/>
          <w:szCs w:val="20"/>
        </w:rPr>
        <w:t>Mentoring and development of a support network with senior employees of the Group</w:t>
      </w:r>
    </w:p>
    <w:p w:rsidR="00AC0121" w:rsidRPr="008C5117" w:rsidRDefault="00AC0121" w:rsidP="00AC0121">
      <w:pPr>
        <w:pStyle w:val="ListParagraph"/>
        <w:numPr>
          <w:ilvl w:val="0"/>
          <w:numId w:val="5"/>
        </w:numPr>
        <w:spacing w:after="0"/>
        <w:rPr>
          <w:rFonts w:asciiTheme="minorBidi" w:hAnsiTheme="minorBidi" w:cstheme="minorBidi"/>
          <w:sz w:val="20"/>
          <w:szCs w:val="20"/>
        </w:rPr>
      </w:pPr>
      <w:r w:rsidRPr="008C5117">
        <w:rPr>
          <w:rFonts w:asciiTheme="minorBidi" w:hAnsiTheme="minorBidi" w:cstheme="minorBidi"/>
          <w:sz w:val="20"/>
          <w:szCs w:val="20"/>
        </w:rPr>
        <w:t>Development workshops to build employability and broader transferable skills</w:t>
      </w:r>
    </w:p>
    <w:p w:rsidR="00AC0121" w:rsidRPr="008C5117" w:rsidRDefault="00AC0121" w:rsidP="00AC0121">
      <w:pPr>
        <w:pStyle w:val="ListParagraph"/>
        <w:numPr>
          <w:ilvl w:val="0"/>
          <w:numId w:val="5"/>
        </w:numPr>
        <w:spacing w:after="0"/>
        <w:rPr>
          <w:rFonts w:asciiTheme="minorBidi" w:hAnsiTheme="minorBidi" w:cstheme="minorBidi"/>
          <w:sz w:val="20"/>
          <w:szCs w:val="20"/>
        </w:rPr>
      </w:pPr>
      <w:r w:rsidRPr="008C5117">
        <w:rPr>
          <w:rFonts w:asciiTheme="minorBidi" w:hAnsiTheme="minorBidi" w:cstheme="minorBidi"/>
          <w:sz w:val="20"/>
          <w:szCs w:val="20"/>
        </w:rPr>
        <w:t xml:space="preserve">Access to Lloyds’ graduate programme </w:t>
      </w:r>
    </w:p>
    <w:p w:rsidR="00AC0121" w:rsidRPr="008C5117" w:rsidRDefault="00AC0121" w:rsidP="00AC0121">
      <w:pPr>
        <w:spacing w:after="0"/>
        <w:rPr>
          <w:rFonts w:asciiTheme="minorBidi" w:hAnsiTheme="minorBidi" w:cstheme="minorBidi"/>
          <w:sz w:val="20"/>
          <w:szCs w:val="20"/>
        </w:rPr>
      </w:pPr>
    </w:p>
    <w:p w:rsidR="00AC0121" w:rsidRPr="008C5117" w:rsidRDefault="00AC0121" w:rsidP="00AC0121">
      <w:pPr>
        <w:spacing w:after="0"/>
        <w:rPr>
          <w:rFonts w:asciiTheme="minorBidi" w:hAnsiTheme="minorBidi" w:cstheme="minorBidi"/>
          <w:sz w:val="20"/>
          <w:szCs w:val="20"/>
        </w:rPr>
      </w:pPr>
      <w:r w:rsidRPr="008C5117">
        <w:rPr>
          <w:rFonts w:asciiTheme="minorBidi" w:hAnsiTheme="minorBidi" w:cstheme="minorBidi"/>
          <w:sz w:val="20"/>
          <w:szCs w:val="20"/>
        </w:rPr>
        <w:t>Scholars, in return, agree to:</w:t>
      </w:r>
    </w:p>
    <w:p w:rsidR="00AC0121" w:rsidRPr="008C5117" w:rsidRDefault="00AC0121" w:rsidP="00AC0121">
      <w:pPr>
        <w:pStyle w:val="ListParagraph"/>
        <w:numPr>
          <w:ilvl w:val="0"/>
          <w:numId w:val="6"/>
        </w:numPr>
        <w:spacing w:after="0"/>
        <w:rPr>
          <w:rFonts w:asciiTheme="minorBidi" w:hAnsiTheme="minorBidi" w:cstheme="minorBidi"/>
          <w:sz w:val="20"/>
          <w:szCs w:val="20"/>
        </w:rPr>
      </w:pPr>
      <w:r w:rsidRPr="008C5117">
        <w:rPr>
          <w:rFonts w:asciiTheme="minorBidi" w:hAnsiTheme="minorBidi" w:cstheme="minorBidi"/>
          <w:sz w:val="20"/>
          <w:szCs w:val="20"/>
        </w:rPr>
        <w:t xml:space="preserve">Volunteer a minimum of 100 </w:t>
      </w:r>
      <w:r w:rsidR="00104161">
        <w:rPr>
          <w:rFonts w:asciiTheme="minorBidi" w:hAnsiTheme="minorBidi" w:cstheme="minorBidi"/>
          <w:sz w:val="20"/>
          <w:szCs w:val="20"/>
        </w:rPr>
        <w:t xml:space="preserve">skills-based </w:t>
      </w:r>
      <w:r w:rsidRPr="008C5117">
        <w:rPr>
          <w:rFonts w:asciiTheme="minorBidi" w:hAnsiTheme="minorBidi" w:cstheme="minorBidi"/>
          <w:sz w:val="20"/>
          <w:szCs w:val="20"/>
        </w:rPr>
        <w:t>hours each year in their local community</w:t>
      </w:r>
    </w:p>
    <w:p w:rsidR="00AC0121" w:rsidRPr="008C5117" w:rsidRDefault="00AC0121" w:rsidP="00AC0121">
      <w:pPr>
        <w:pStyle w:val="ListParagraph"/>
        <w:numPr>
          <w:ilvl w:val="0"/>
          <w:numId w:val="6"/>
        </w:numPr>
        <w:spacing w:after="0"/>
        <w:rPr>
          <w:rFonts w:asciiTheme="minorBidi" w:hAnsiTheme="minorBidi" w:cstheme="minorBidi"/>
          <w:sz w:val="20"/>
          <w:szCs w:val="20"/>
        </w:rPr>
      </w:pPr>
      <w:r w:rsidRPr="008C5117">
        <w:rPr>
          <w:rFonts w:asciiTheme="minorBidi" w:hAnsiTheme="minorBidi" w:cstheme="minorBidi"/>
          <w:sz w:val="20"/>
          <w:szCs w:val="20"/>
        </w:rPr>
        <w:lastRenderedPageBreak/>
        <w:t>Promote and champion the Lloyds Scholars programme to future generations</w:t>
      </w:r>
    </w:p>
    <w:p w:rsidR="00AC0121" w:rsidRPr="008C5117" w:rsidRDefault="00AC0121" w:rsidP="00AC0121">
      <w:pPr>
        <w:spacing w:after="0"/>
        <w:rPr>
          <w:rFonts w:asciiTheme="minorBidi" w:hAnsiTheme="minorBidi" w:cstheme="minorBidi"/>
          <w:sz w:val="20"/>
          <w:szCs w:val="20"/>
        </w:rPr>
      </w:pPr>
    </w:p>
    <w:p w:rsidR="004160DD" w:rsidRPr="008F1DF0" w:rsidRDefault="00AC0121" w:rsidP="008F1DF0">
      <w:pPr>
        <w:rPr>
          <w:rFonts w:asciiTheme="minorBidi" w:hAnsiTheme="minorBidi" w:cstheme="minorBidi"/>
          <w:color w:val="000000"/>
          <w:sz w:val="20"/>
          <w:szCs w:val="20"/>
        </w:rPr>
      </w:pPr>
      <w:r w:rsidRPr="008C5117">
        <w:rPr>
          <w:rFonts w:asciiTheme="minorBidi" w:hAnsiTheme="minorBidi" w:cstheme="minorBidi"/>
          <w:sz w:val="20"/>
          <w:szCs w:val="20"/>
        </w:rPr>
        <w:t xml:space="preserve">To be eligible for the programme students must come from homes where the household income is under £25,000 and have a place at one of the leading Universities taking part in the programme. </w:t>
      </w:r>
    </w:p>
    <w:sectPr w:rsidR="004160DD" w:rsidRPr="008F1DF0" w:rsidSect="00104161">
      <w:headerReference w:type="even" r:id="rId11"/>
      <w:headerReference w:type="default" r:id="rId12"/>
      <w:footerReference w:type="even" r:id="rId13"/>
      <w:footerReference w:type="default" r:id="rId14"/>
      <w:headerReference w:type="first" r:id="rId15"/>
      <w:footerReference w:type="first" r:id="rId16"/>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9AF" w:rsidRDefault="00BC69AF" w:rsidP="00B07939">
      <w:pPr>
        <w:spacing w:after="0" w:line="240" w:lineRule="auto"/>
      </w:pPr>
      <w:r>
        <w:separator/>
      </w:r>
    </w:p>
  </w:endnote>
  <w:endnote w:type="continuationSeparator" w:id="0">
    <w:p w:rsidR="00BC69AF" w:rsidRDefault="00BC69AF" w:rsidP="00B07939">
      <w:pPr>
        <w:spacing w:after="0" w:line="240" w:lineRule="auto"/>
      </w:pPr>
      <w:r>
        <w:continuationSeparator/>
      </w:r>
    </w:p>
  </w:endnote>
  <w:endnote w:id="1">
    <w:p w:rsidR="00322B48" w:rsidRDefault="00322B48" w:rsidP="00322B48">
      <w:pPr>
        <w:pStyle w:val="EndnoteText"/>
        <w:rPr>
          <w:rFonts w:ascii="Arial" w:hAnsi="Arial" w:cs="Arial"/>
          <w:sz w:val="16"/>
          <w:szCs w:val="16"/>
        </w:rPr>
      </w:pPr>
      <w:r>
        <w:rPr>
          <w:rStyle w:val="EndnoteReference"/>
        </w:rPr>
        <w:endnoteRef/>
      </w:r>
      <w:r>
        <w:t xml:space="preserve"> </w:t>
      </w:r>
      <w:r>
        <w:rPr>
          <w:rFonts w:ascii="Arial" w:hAnsi="Arial" w:cs="Arial"/>
          <w:sz w:val="16"/>
          <w:szCs w:val="16"/>
        </w:rPr>
        <w:t>Results conducted in 2017</w:t>
      </w:r>
      <w:r w:rsidRPr="00B3408D">
        <w:rPr>
          <w:rFonts w:ascii="Arial" w:hAnsi="Arial" w:cs="Arial"/>
          <w:sz w:val="16"/>
          <w:szCs w:val="16"/>
        </w:rPr>
        <w:t xml:space="preserve"> by external evaluator, Envoy Partnership, to assess the impact of the programme and calculate its social value</w:t>
      </w:r>
    </w:p>
    <w:p w:rsidR="00322B48" w:rsidRDefault="00322B48" w:rsidP="00322B48">
      <w:pPr>
        <w:pStyle w:val="EndnoteText"/>
        <w:rPr>
          <w:rFonts w:ascii="Arial" w:hAnsi="Arial" w:cs="Arial"/>
          <w:sz w:val="16"/>
          <w:szCs w:val="16"/>
        </w:rPr>
      </w:pPr>
    </w:p>
    <w:p w:rsidR="00322B48" w:rsidRPr="00824AE9" w:rsidRDefault="00322B48" w:rsidP="00322B48">
      <w:pPr>
        <w:pStyle w:val="EndnoteText"/>
        <w:rPr>
          <w:vertAlign w:val="superscript"/>
        </w:rPr>
      </w:pPr>
      <w:r w:rsidRPr="00824AE9">
        <w:rPr>
          <w:rFonts w:ascii="Arial" w:hAnsi="Arial" w:cs="Arial"/>
          <w:sz w:val="16"/>
          <w:szCs w:val="16"/>
          <w:vertAlign w:val="superscript"/>
        </w:rPr>
        <w:t>ii</w:t>
      </w:r>
      <w:r>
        <w:rPr>
          <w:rFonts w:ascii="Arial" w:hAnsi="Arial" w:cs="Arial"/>
          <w:sz w:val="16"/>
          <w:szCs w:val="16"/>
          <w:vertAlign w:val="superscript"/>
        </w:rPr>
        <w:t xml:space="preserve"> </w:t>
      </w:r>
      <w:r>
        <w:rPr>
          <w:rFonts w:ascii="Arial" w:hAnsi="Arial" w:cs="Arial"/>
          <w:sz w:val="16"/>
          <w:szCs w:val="16"/>
        </w:rPr>
        <w:t>Results conducted in 2016</w:t>
      </w:r>
      <w:r w:rsidRPr="00B3408D">
        <w:rPr>
          <w:rFonts w:ascii="Arial" w:hAnsi="Arial" w:cs="Arial"/>
          <w:sz w:val="16"/>
          <w:szCs w:val="16"/>
        </w:rPr>
        <w:t xml:space="preserve"> by external evaluator, Envoy Partnership, to assess the impact of the programme and calculate its social value</w:t>
      </w:r>
    </w:p>
  </w:endnote>
  <w:endnote w:id="2">
    <w:p w:rsidR="00A27BC9" w:rsidRPr="00A27BC9" w:rsidRDefault="00A27BC9">
      <w:pPr>
        <w:pStyle w:val="EndnoteText"/>
        <w:rPr>
          <w:rFonts w:asciiTheme="minorBidi" w:hAnsiTheme="minorBidi" w:cstheme="minorBidi"/>
          <w:sz w:val="16"/>
          <w:szCs w:val="16"/>
        </w:rPr>
      </w:pPr>
      <w:r>
        <w:rPr>
          <w:rStyle w:val="EndnoteReference"/>
        </w:rPr>
        <w:endnoteRef/>
      </w:r>
      <w:r>
        <w:t xml:space="preserve"> </w:t>
      </w:r>
      <w:r>
        <w:rPr>
          <w:rFonts w:asciiTheme="minorBidi" w:hAnsiTheme="minorBidi" w:cstheme="minorBidi"/>
          <w:sz w:val="16"/>
          <w:szCs w:val="16"/>
        </w:rPr>
        <w:t xml:space="preserve">Analysis was undertaken by an independent consultancy and led by an SROI practitioner who is accredited by Social Value UK. The SROI was undertaken in accordance with the Cabinet Office guidance and the figures given are based on data gathered </w:t>
      </w:r>
      <w:r w:rsidR="00FE40D9">
        <w:rPr>
          <w:rFonts w:asciiTheme="minorBidi" w:hAnsiTheme="minorBidi" w:cstheme="minorBidi"/>
          <w:sz w:val="16"/>
          <w:szCs w:val="16"/>
        </w:rPr>
        <w:t>between February 2012 and July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61" w:rsidRDefault="00104161" w:rsidP="00E8138E">
    <w:pPr>
      <w:pStyle w:val="Footer"/>
      <w:jc w:val="center"/>
    </w:pPr>
    <w:bookmarkStart w:id="3" w:name="TITUS1FooterEvenPages"/>
    <w:r>
      <w:t xml:space="preserve"> </w:t>
    </w:r>
  </w:p>
  <w:p w:rsidR="00104161" w:rsidRDefault="00104161" w:rsidP="00D77464">
    <w:pPr>
      <w:pStyle w:val="Footer"/>
      <w:jc w:val="center"/>
    </w:pPr>
  </w:p>
  <w:bookmarkEnd w:id="3"/>
  <w:p w:rsidR="00104161" w:rsidRDefault="00104161" w:rsidP="00104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C46" w:rsidRDefault="00104161" w:rsidP="00104161">
    <w:pPr>
      <w:pStyle w:val="Footer"/>
      <w:jc w:val="center"/>
      <w:rPr>
        <w:color w:val="858288"/>
      </w:rPr>
    </w:pPr>
    <w:bookmarkStart w:id="4" w:name="TITUS1FooterPrimary"/>
    <w:r>
      <w:rPr>
        <w:color w:val="858288"/>
      </w:rPr>
      <w:t xml:space="preserve"> </w:t>
    </w:r>
  </w:p>
  <w:p w:rsidR="00104161" w:rsidRDefault="00104161">
    <w:pPr>
      <w:pStyle w:val="Footer"/>
      <w:jc w:val="center"/>
      <w:rPr>
        <w:color w:val="858288"/>
      </w:rPr>
    </w:pPr>
  </w:p>
  <w:bookmarkEnd w:id="4"/>
  <w:p w:rsidR="00104161" w:rsidRPr="008575B1" w:rsidRDefault="00104161" w:rsidP="008575B1">
    <w:pPr>
      <w:pStyle w:val="Footer"/>
      <w:jc w:val="center"/>
      <w:rPr>
        <w:color w:val="85828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61" w:rsidRDefault="00104161">
    <w:pPr>
      <w:pStyle w:val="Footer"/>
    </w:pPr>
  </w:p>
  <w:p w:rsidR="00104161" w:rsidRDefault="00104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9AF" w:rsidRDefault="00BC69AF" w:rsidP="00B07939">
      <w:pPr>
        <w:spacing w:after="0" w:line="240" w:lineRule="auto"/>
      </w:pPr>
      <w:r>
        <w:separator/>
      </w:r>
    </w:p>
  </w:footnote>
  <w:footnote w:type="continuationSeparator" w:id="0">
    <w:p w:rsidR="00BC69AF" w:rsidRDefault="00BC69AF" w:rsidP="00B07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61" w:rsidRDefault="00104161" w:rsidP="00E8138E">
    <w:pPr>
      <w:pStyle w:val="Header"/>
      <w:jc w:val="center"/>
    </w:pPr>
    <w:bookmarkStart w:id="1" w:name="TITUS1HeaderEvenPages"/>
    <w:r>
      <w:t xml:space="preserve"> </w:t>
    </w:r>
  </w:p>
  <w:p w:rsidR="00104161" w:rsidRDefault="00104161" w:rsidP="00D77464">
    <w:pPr>
      <w:pStyle w:val="Header"/>
      <w:jc w:val="center"/>
    </w:pPr>
  </w:p>
  <w:bookmarkEnd w:id="1"/>
  <w:p w:rsidR="00104161" w:rsidRDefault="00104161" w:rsidP="00104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61" w:rsidRDefault="00104161" w:rsidP="00104161">
    <w:pPr>
      <w:pStyle w:val="Header"/>
      <w:jc w:val="center"/>
    </w:pPr>
    <w:bookmarkStart w:id="2" w:name="TITUS1HeaderPrimary"/>
    <w:r>
      <w:t xml:space="preserve"> </w:t>
    </w:r>
  </w:p>
  <w:p w:rsidR="00104161" w:rsidRDefault="00104161" w:rsidP="00D77464">
    <w:pPr>
      <w:pStyle w:val="Header"/>
      <w:jc w:val="center"/>
    </w:pPr>
  </w:p>
  <w:bookmarkEnd w:id="2"/>
  <w:p w:rsidR="00104161" w:rsidRDefault="00104161" w:rsidP="00D774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61" w:rsidRDefault="00104161">
    <w:pPr>
      <w:pStyle w:val="Header"/>
    </w:pPr>
  </w:p>
  <w:p w:rsidR="00104161" w:rsidRDefault="00104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86160"/>
    <w:multiLevelType w:val="hybridMultilevel"/>
    <w:tmpl w:val="8ADE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33EFA"/>
    <w:multiLevelType w:val="hybridMultilevel"/>
    <w:tmpl w:val="9DD2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C4D73"/>
    <w:multiLevelType w:val="hybridMultilevel"/>
    <w:tmpl w:val="17AE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834F0"/>
    <w:multiLevelType w:val="hybridMultilevel"/>
    <w:tmpl w:val="CA34B38C"/>
    <w:lvl w:ilvl="0" w:tplc="6362128C">
      <w:start w:val="15"/>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43537"/>
    <w:multiLevelType w:val="hybridMultilevel"/>
    <w:tmpl w:val="81CE2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B65F2"/>
    <w:multiLevelType w:val="hybridMultilevel"/>
    <w:tmpl w:val="8D46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B71825"/>
    <w:multiLevelType w:val="hybridMultilevel"/>
    <w:tmpl w:val="F45062E2"/>
    <w:lvl w:ilvl="0" w:tplc="B324123A">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91498"/>
    <w:multiLevelType w:val="hybridMultilevel"/>
    <w:tmpl w:val="6E788254"/>
    <w:lvl w:ilvl="0" w:tplc="B324123A">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DF05A5"/>
    <w:multiLevelType w:val="hybridMultilevel"/>
    <w:tmpl w:val="71B6DBD2"/>
    <w:lvl w:ilvl="0" w:tplc="B324123A">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22263"/>
    <w:multiLevelType w:val="hybridMultilevel"/>
    <w:tmpl w:val="46382306"/>
    <w:lvl w:ilvl="0" w:tplc="77A45794">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6"/>
  </w:num>
  <w:num w:numId="5">
    <w:abstractNumId w:val="7"/>
  </w:num>
  <w:num w:numId="6">
    <w:abstractNumId w:val="8"/>
  </w:num>
  <w:num w:numId="7">
    <w:abstractNumId w:val="4"/>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25"/>
    <w:rsid w:val="0000268F"/>
    <w:rsid w:val="000029C7"/>
    <w:rsid w:val="00005D39"/>
    <w:rsid w:val="00021FDC"/>
    <w:rsid w:val="00024468"/>
    <w:rsid w:val="000302F4"/>
    <w:rsid w:val="00035684"/>
    <w:rsid w:val="00035ECF"/>
    <w:rsid w:val="00057176"/>
    <w:rsid w:val="00060617"/>
    <w:rsid w:val="00060EED"/>
    <w:rsid w:val="000A3E47"/>
    <w:rsid w:val="000D093A"/>
    <w:rsid w:val="000D564A"/>
    <w:rsid w:val="00104161"/>
    <w:rsid w:val="0010497D"/>
    <w:rsid w:val="00106225"/>
    <w:rsid w:val="0010779F"/>
    <w:rsid w:val="00132B18"/>
    <w:rsid w:val="00172676"/>
    <w:rsid w:val="001734F3"/>
    <w:rsid w:val="001B55C5"/>
    <w:rsid w:val="001D0378"/>
    <w:rsid w:val="001D5A72"/>
    <w:rsid w:val="001E29E0"/>
    <w:rsid w:val="001F51FF"/>
    <w:rsid w:val="00225276"/>
    <w:rsid w:val="00233790"/>
    <w:rsid w:val="00237F25"/>
    <w:rsid w:val="0026661E"/>
    <w:rsid w:val="0027609A"/>
    <w:rsid w:val="00296C85"/>
    <w:rsid w:val="002B07C6"/>
    <w:rsid w:val="002B786B"/>
    <w:rsid w:val="002C00A9"/>
    <w:rsid w:val="002D7E96"/>
    <w:rsid w:val="002F2321"/>
    <w:rsid w:val="00304C46"/>
    <w:rsid w:val="00307344"/>
    <w:rsid w:val="0031057B"/>
    <w:rsid w:val="00322B48"/>
    <w:rsid w:val="00332C28"/>
    <w:rsid w:val="0035359E"/>
    <w:rsid w:val="0035497A"/>
    <w:rsid w:val="003735C9"/>
    <w:rsid w:val="00377D01"/>
    <w:rsid w:val="00396063"/>
    <w:rsid w:val="003C0452"/>
    <w:rsid w:val="003C7E3A"/>
    <w:rsid w:val="003E1479"/>
    <w:rsid w:val="004160DD"/>
    <w:rsid w:val="00422831"/>
    <w:rsid w:val="00426608"/>
    <w:rsid w:val="00436E39"/>
    <w:rsid w:val="00442FBB"/>
    <w:rsid w:val="00454B84"/>
    <w:rsid w:val="0047296E"/>
    <w:rsid w:val="00480745"/>
    <w:rsid w:val="004A11C6"/>
    <w:rsid w:val="004F7563"/>
    <w:rsid w:val="0050237C"/>
    <w:rsid w:val="00502D7C"/>
    <w:rsid w:val="00513171"/>
    <w:rsid w:val="00522AF4"/>
    <w:rsid w:val="00537B6A"/>
    <w:rsid w:val="00537D07"/>
    <w:rsid w:val="0055344C"/>
    <w:rsid w:val="005869C9"/>
    <w:rsid w:val="00592223"/>
    <w:rsid w:val="005A0632"/>
    <w:rsid w:val="005A5D13"/>
    <w:rsid w:val="005C36D6"/>
    <w:rsid w:val="005D4F22"/>
    <w:rsid w:val="005E6A44"/>
    <w:rsid w:val="005E789F"/>
    <w:rsid w:val="005F14FD"/>
    <w:rsid w:val="00622777"/>
    <w:rsid w:val="00641FA3"/>
    <w:rsid w:val="0065119B"/>
    <w:rsid w:val="00696DBA"/>
    <w:rsid w:val="006B130F"/>
    <w:rsid w:val="006C7412"/>
    <w:rsid w:val="006D4E99"/>
    <w:rsid w:val="006E56DC"/>
    <w:rsid w:val="006F13C6"/>
    <w:rsid w:val="00712375"/>
    <w:rsid w:val="00741898"/>
    <w:rsid w:val="007541D6"/>
    <w:rsid w:val="0076382F"/>
    <w:rsid w:val="00783893"/>
    <w:rsid w:val="007A5E8F"/>
    <w:rsid w:val="007A6849"/>
    <w:rsid w:val="007A7938"/>
    <w:rsid w:val="007B28D5"/>
    <w:rsid w:val="007B319B"/>
    <w:rsid w:val="007E5527"/>
    <w:rsid w:val="00830E27"/>
    <w:rsid w:val="00843BCA"/>
    <w:rsid w:val="00853DBE"/>
    <w:rsid w:val="008575B1"/>
    <w:rsid w:val="008627BF"/>
    <w:rsid w:val="00872019"/>
    <w:rsid w:val="00884F2D"/>
    <w:rsid w:val="00896184"/>
    <w:rsid w:val="008A43AE"/>
    <w:rsid w:val="008E2B82"/>
    <w:rsid w:val="008F1A2A"/>
    <w:rsid w:val="008F1DF0"/>
    <w:rsid w:val="00904B9D"/>
    <w:rsid w:val="009125BB"/>
    <w:rsid w:val="009148D1"/>
    <w:rsid w:val="00915023"/>
    <w:rsid w:val="00930CD4"/>
    <w:rsid w:val="00931C0B"/>
    <w:rsid w:val="00935AD1"/>
    <w:rsid w:val="0094343D"/>
    <w:rsid w:val="00961998"/>
    <w:rsid w:val="0098519B"/>
    <w:rsid w:val="009C2766"/>
    <w:rsid w:val="009D1BCC"/>
    <w:rsid w:val="009D5DD2"/>
    <w:rsid w:val="009E330A"/>
    <w:rsid w:val="009E71BE"/>
    <w:rsid w:val="00A172C4"/>
    <w:rsid w:val="00A27BC9"/>
    <w:rsid w:val="00A35209"/>
    <w:rsid w:val="00A50E41"/>
    <w:rsid w:val="00A7159A"/>
    <w:rsid w:val="00A75820"/>
    <w:rsid w:val="00A769AB"/>
    <w:rsid w:val="00AA117B"/>
    <w:rsid w:val="00AA27C3"/>
    <w:rsid w:val="00AA62F6"/>
    <w:rsid w:val="00AB7EBF"/>
    <w:rsid w:val="00AC0121"/>
    <w:rsid w:val="00AC18A0"/>
    <w:rsid w:val="00AD7E45"/>
    <w:rsid w:val="00AE60BA"/>
    <w:rsid w:val="00B05347"/>
    <w:rsid w:val="00B07939"/>
    <w:rsid w:val="00B140FF"/>
    <w:rsid w:val="00B226DD"/>
    <w:rsid w:val="00B23202"/>
    <w:rsid w:val="00B24C57"/>
    <w:rsid w:val="00B373E5"/>
    <w:rsid w:val="00B55E63"/>
    <w:rsid w:val="00BC69AF"/>
    <w:rsid w:val="00BC7BD1"/>
    <w:rsid w:val="00BE3830"/>
    <w:rsid w:val="00C12027"/>
    <w:rsid w:val="00C21AAE"/>
    <w:rsid w:val="00C23A16"/>
    <w:rsid w:val="00C24327"/>
    <w:rsid w:val="00C316D4"/>
    <w:rsid w:val="00C50BFF"/>
    <w:rsid w:val="00C53D5B"/>
    <w:rsid w:val="00C62773"/>
    <w:rsid w:val="00C7318D"/>
    <w:rsid w:val="00C85E58"/>
    <w:rsid w:val="00C87B8D"/>
    <w:rsid w:val="00CB1CBB"/>
    <w:rsid w:val="00CE3514"/>
    <w:rsid w:val="00D02D2B"/>
    <w:rsid w:val="00D14E29"/>
    <w:rsid w:val="00D37F50"/>
    <w:rsid w:val="00D447B2"/>
    <w:rsid w:val="00D45BB3"/>
    <w:rsid w:val="00D616AA"/>
    <w:rsid w:val="00D61ACB"/>
    <w:rsid w:val="00D741D6"/>
    <w:rsid w:val="00D77464"/>
    <w:rsid w:val="00D8287A"/>
    <w:rsid w:val="00DA2CFE"/>
    <w:rsid w:val="00DC2C42"/>
    <w:rsid w:val="00DC4720"/>
    <w:rsid w:val="00DD56EE"/>
    <w:rsid w:val="00E11AAB"/>
    <w:rsid w:val="00E12D7A"/>
    <w:rsid w:val="00E1439E"/>
    <w:rsid w:val="00E54BDA"/>
    <w:rsid w:val="00E54D45"/>
    <w:rsid w:val="00E56791"/>
    <w:rsid w:val="00E65031"/>
    <w:rsid w:val="00E73DD0"/>
    <w:rsid w:val="00E8138E"/>
    <w:rsid w:val="00EA6D22"/>
    <w:rsid w:val="00EB3AD0"/>
    <w:rsid w:val="00EC5721"/>
    <w:rsid w:val="00EE1AE5"/>
    <w:rsid w:val="00EF2A47"/>
    <w:rsid w:val="00F15346"/>
    <w:rsid w:val="00F20049"/>
    <w:rsid w:val="00F24B22"/>
    <w:rsid w:val="00F25878"/>
    <w:rsid w:val="00F25AED"/>
    <w:rsid w:val="00F7058F"/>
    <w:rsid w:val="00F7452C"/>
    <w:rsid w:val="00F937D7"/>
    <w:rsid w:val="00FA4C54"/>
    <w:rsid w:val="00FE40D9"/>
    <w:rsid w:val="00FF33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A2A"/>
    <w:pPr>
      <w:spacing w:after="200" w:line="276" w:lineRule="auto"/>
    </w:pPr>
  </w:style>
  <w:style w:type="paragraph" w:styleId="Heading1">
    <w:name w:val="heading 1"/>
    <w:basedOn w:val="Normal"/>
    <w:next w:val="Normal"/>
    <w:link w:val="Heading1Char"/>
    <w:uiPriority w:val="99"/>
    <w:qFormat/>
    <w:rsid w:val="00233790"/>
    <w:pPr>
      <w:keepNext/>
      <w:keepLines/>
      <w:spacing w:before="240" w:after="220" w:line="240" w:lineRule="auto"/>
      <w:outlineLvl w:val="0"/>
    </w:pPr>
    <w:rPr>
      <w:bCs/>
      <w:color w:val="858288"/>
      <w:spacing w:val="-10"/>
      <w:kern w:val="44"/>
      <w:sz w:val="36"/>
      <w:szCs w:val="28"/>
    </w:rPr>
  </w:style>
  <w:style w:type="paragraph" w:styleId="Heading2">
    <w:name w:val="heading 2"/>
    <w:basedOn w:val="Normal"/>
    <w:next w:val="Normal"/>
    <w:link w:val="Heading2Char"/>
    <w:uiPriority w:val="99"/>
    <w:qFormat/>
    <w:rsid w:val="00DC2C42"/>
    <w:pPr>
      <w:keepNext/>
      <w:keepLines/>
      <w:spacing w:before="200" w:after="120" w:line="240" w:lineRule="auto"/>
      <w:outlineLvl w:val="1"/>
    </w:pPr>
    <w:rPr>
      <w:bCs/>
      <w:kern w:val="28"/>
      <w:sz w:val="30"/>
      <w:szCs w:val="26"/>
    </w:rPr>
  </w:style>
  <w:style w:type="paragraph" w:styleId="Heading3">
    <w:name w:val="heading 3"/>
    <w:basedOn w:val="Heading2"/>
    <w:next w:val="Normal"/>
    <w:link w:val="Heading3Char"/>
    <w:uiPriority w:val="99"/>
    <w:qFormat/>
    <w:rsid w:val="00C85E58"/>
    <w:pPr>
      <w:outlineLvl w:val="2"/>
    </w:pPr>
    <w:rPr>
      <w:b/>
      <w:bCs w:val="0"/>
      <w:sz w:val="24"/>
    </w:rPr>
  </w:style>
  <w:style w:type="paragraph" w:styleId="Heading4">
    <w:name w:val="heading 4"/>
    <w:basedOn w:val="Heading3"/>
    <w:next w:val="Normal"/>
    <w:link w:val="Heading4Char"/>
    <w:uiPriority w:val="99"/>
    <w:qFormat/>
    <w:rsid w:val="00935AD1"/>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790"/>
    <w:rPr>
      <w:rFonts w:ascii="Georgia" w:hAnsi="Georgia" w:cs="Times New Roman"/>
      <w:bCs/>
      <w:color w:val="858288"/>
      <w:spacing w:val="-10"/>
      <w:kern w:val="44"/>
      <w:sz w:val="28"/>
      <w:szCs w:val="28"/>
    </w:rPr>
  </w:style>
  <w:style w:type="character" w:customStyle="1" w:styleId="Heading2Char">
    <w:name w:val="Heading 2 Char"/>
    <w:basedOn w:val="DefaultParagraphFont"/>
    <w:link w:val="Heading2"/>
    <w:uiPriority w:val="99"/>
    <w:locked/>
    <w:rsid w:val="00DC2C42"/>
    <w:rPr>
      <w:rFonts w:ascii="Georgia" w:hAnsi="Georgia" w:cs="Times New Roman"/>
      <w:bCs/>
      <w:kern w:val="28"/>
      <w:sz w:val="26"/>
      <w:szCs w:val="26"/>
    </w:rPr>
  </w:style>
  <w:style w:type="character" w:customStyle="1" w:styleId="Heading3Char">
    <w:name w:val="Heading 3 Char"/>
    <w:basedOn w:val="DefaultParagraphFont"/>
    <w:link w:val="Heading3"/>
    <w:uiPriority w:val="99"/>
    <w:locked/>
    <w:rsid w:val="00C85E58"/>
    <w:rPr>
      <w:rFonts w:ascii="Georgia" w:hAnsi="Georgia" w:cs="Times New Roman"/>
      <w:b/>
      <w:kern w:val="28"/>
      <w:sz w:val="26"/>
      <w:szCs w:val="26"/>
    </w:rPr>
  </w:style>
  <w:style w:type="character" w:customStyle="1" w:styleId="Heading4Char">
    <w:name w:val="Heading 4 Char"/>
    <w:basedOn w:val="DefaultParagraphFont"/>
    <w:link w:val="Heading4"/>
    <w:uiPriority w:val="99"/>
    <w:semiHidden/>
    <w:locked/>
    <w:rsid w:val="00935AD1"/>
    <w:rPr>
      <w:rFonts w:ascii="Georgia" w:hAnsi="Georgia" w:cs="Times New Roman"/>
      <w:kern w:val="28"/>
      <w:sz w:val="26"/>
      <w:szCs w:val="26"/>
    </w:rPr>
  </w:style>
  <w:style w:type="table" w:styleId="TableGrid">
    <w:name w:val="Table Grid"/>
    <w:basedOn w:val="TableNormal"/>
    <w:uiPriority w:val="99"/>
    <w:rsid w:val="00696D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99"/>
    <w:rsid w:val="005E6A44"/>
    <w:rPr>
      <w:sz w:val="20"/>
      <w:szCs w:val="20"/>
    </w:rPr>
    <w:tblPr>
      <w:tblStyleRowBandSize w:val="1"/>
      <w:tblStyleColBandSize w:val="1"/>
      <w:tblBorders>
        <w:top w:val="single" w:sz="8" w:space="0" w:color="858288"/>
        <w:left w:val="single" w:sz="8" w:space="0" w:color="858288"/>
        <w:bottom w:val="single" w:sz="8" w:space="0" w:color="858288"/>
        <w:right w:val="single" w:sz="8" w:space="0" w:color="858288"/>
      </w:tblBorders>
    </w:tblPr>
    <w:tblStylePr w:type="firstRow">
      <w:pPr>
        <w:spacing w:before="0" w:after="0"/>
      </w:pPr>
      <w:rPr>
        <w:rFonts w:cs="Times New Roman"/>
        <w:b/>
        <w:bCs/>
        <w:color w:val="FFFFFF"/>
      </w:rPr>
      <w:tblPr/>
      <w:tcPr>
        <w:shd w:val="clear" w:color="auto" w:fill="858288"/>
      </w:tcPr>
    </w:tblStylePr>
    <w:tblStylePr w:type="lastRow">
      <w:pPr>
        <w:spacing w:before="0" w:after="0"/>
      </w:pPr>
      <w:rPr>
        <w:rFonts w:cs="Times New Roman"/>
        <w:b/>
        <w:bCs/>
      </w:rPr>
      <w:tblPr/>
      <w:tcPr>
        <w:tcBorders>
          <w:top w:val="double" w:sz="6" w:space="0" w:color="858288"/>
          <w:left w:val="single" w:sz="8" w:space="0" w:color="858288"/>
          <w:bottom w:val="single" w:sz="8" w:space="0" w:color="858288"/>
          <w:right w:val="single" w:sz="8" w:space="0" w:color="858288"/>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58288"/>
          <w:left w:val="single" w:sz="8" w:space="0" w:color="858288"/>
          <w:bottom w:val="single" w:sz="8" w:space="0" w:color="858288"/>
          <w:right w:val="single" w:sz="8" w:space="0" w:color="858288"/>
        </w:tcBorders>
      </w:tcPr>
    </w:tblStylePr>
    <w:tblStylePr w:type="band1Horz">
      <w:rPr>
        <w:rFonts w:cs="Times New Roman"/>
      </w:rPr>
      <w:tblPr/>
      <w:tcPr>
        <w:tcBorders>
          <w:top w:val="single" w:sz="8" w:space="0" w:color="858288"/>
          <w:left w:val="single" w:sz="8" w:space="0" w:color="858288"/>
          <w:bottom w:val="single" w:sz="8" w:space="0" w:color="858288"/>
          <w:right w:val="single" w:sz="8" w:space="0" w:color="858288"/>
        </w:tcBorders>
      </w:tcPr>
    </w:tblStylePr>
  </w:style>
  <w:style w:type="paragraph" w:styleId="Title">
    <w:name w:val="Title"/>
    <w:basedOn w:val="Normal"/>
    <w:next w:val="Normal"/>
    <w:link w:val="TitleChar"/>
    <w:uiPriority w:val="99"/>
    <w:qFormat/>
    <w:rsid w:val="00436E39"/>
    <w:pPr>
      <w:spacing w:before="240" w:after="240" w:line="240" w:lineRule="auto"/>
      <w:contextualSpacing/>
      <w:outlineLvl w:val="0"/>
    </w:pPr>
    <w:rPr>
      <w:color w:val="858288"/>
      <w:spacing w:val="-22"/>
      <w:kern w:val="28"/>
      <w:sz w:val="56"/>
      <w:szCs w:val="52"/>
    </w:rPr>
  </w:style>
  <w:style w:type="character" w:customStyle="1" w:styleId="TitleChar">
    <w:name w:val="Title Char"/>
    <w:basedOn w:val="DefaultParagraphFont"/>
    <w:link w:val="Title"/>
    <w:uiPriority w:val="99"/>
    <w:locked/>
    <w:rsid w:val="00436E39"/>
    <w:rPr>
      <w:rFonts w:ascii="Georgia" w:hAnsi="Georgia" w:cs="Times New Roman"/>
      <w:color w:val="858288"/>
      <w:spacing w:val="-22"/>
      <w:kern w:val="28"/>
      <w:sz w:val="52"/>
      <w:szCs w:val="52"/>
      <w:lang w:val="en-GB"/>
    </w:rPr>
  </w:style>
  <w:style w:type="paragraph" w:styleId="Subtitle">
    <w:name w:val="Subtitle"/>
    <w:basedOn w:val="Title"/>
    <w:next w:val="Normal"/>
    <w:link w:val="SubtitleChar"/>
    <w:uiPriority w:val="99"/>
    <w:qFormat/>
    <w:rsid w:val="00233790"/>
    <w:pPr>
      <w:numPr>
        <w:ilvl w:val="1"/>
      </w:numPr>
      <w:spacing w:before="0" w:after="0"/>
    </w:pPr>
    <w:rPr>
      <w:iCs/>
      <w:spacing w:val="0"/>
      <w:sz w:val="24"/>
      <w:szCs w:val="24"/>
    </w:rPr>
  </w:style>
  <w:style w:type="character" w:customStyle="1" w:styleId="SubtitleChar">
    <w:name w:val="Subtitle Char"/>
    <w:basedOn w:val="DefaultParagraphFont"/>
    <w:link w:val="Subtitle"/>
    <w:uiPriority w:val="99"/>
    <w:locked/>
    <w:rsid w:val="00233790"/>
    <w:rPr>
      <w:rFonts w:ascii="Georgia" w:hAnsi="Georgia" w:cs="Times New Roman"/>
      <w:iCs/>
      <w:color w:val="858288"/>
      <w:kern w:val="28"/>
      <w:sz w:val="24"/>
      <w:szCs w:val="24"/>
      <w:lang w:val="en-GB"/>
    </w:rPr>
  </w:style>
  <w:style w:type="paragraph" w:styleId="Quote">
    <w:name w:val="Quote"/>
    <w:basedOn w:val="Normal"/>
    <w:next w:val="Normal"/>
    <w:link w:val="QuoteChar"/>
    <w:uiPriority w:val="99"/>
    <w:qFormat/>
    <w:rsid w:val="00233790"/>
    <w:pPr>
      <w:ind w:left="794"/>
    </w:pPr>
    <w:rPr>
      <w:iCs/>
      <w:color w:val="000000"/>
    </w:rPr>
  </w:style>
  <w:style w:type="character" w:customStyle="1" w:styleId="QuoteChar">
    <w:name w:val="Quote Char"/>
    <w:basedOn w:val="DefaultParagraphFont"/>
    <w:link w:val="Quote"/>
    <w:uiPriority w:val="99"/>
    <w:locked/>
    <w:rsid w:val="00233790"/>
    <w:rPr>
      <w:rFonts w:cs="Times New Roman"/>
      <w:iCs/>
      <w:color w:val="000000"/>
    </w:rPr>
  </w:style>
  <w:style w:type="paragraph" w:styleId="IntenseQuote">
    <w:name w:val="Intense Quote"/>
    <w:basedOn w:val="Normal"/>
    <w:next w:val="Normal"/>
    <w:link w:val="IntenseQuoteChar"/>
    <w:uiPriority w:val="99"/>
    <w:qFormat/>
    <w:rsid w:val="000D093A"/>
    <w:pPr>
      <w:pBdr>
        <w:bottom w:val="single" w:sz="4" w:space="4" w:color="573354"/>
      </w:pBdr>
      <w:spacing w:before="200" w:after="280"/>
      <w:ind w:left="936" w:right="936"/>
    </w:pPr>
    <w:rPr>
      <w:bCs/>
      <w:iCs/>
    </w:rPr>
  </w:style>
  <w:style w:type="character" w:customStyle="1" w:styleId="IntenseQuoteChar">
    <w:name w:val="Intense Quote Char"/>
    <w:basedOn w:val="DefaultParagraphFont"/>
    <w:link w:val="IntenseQuote"/>
    <w:uiPriority w:val="99"/>
    <w:locked/>
    <w:rsid w:val="000D093A"/>
    <w:rPr>
      <w:rFonts w:cs="Times New Roman"/>
      <w:bCs/>
      <w:iCs/>
    </w:rPr>
  </w:style>
  <w:style w:type="character" w:styleId="SubtleReference">
    <w:name w:val="Subtle Reference"/>
    <w:basedOn w:val="DefaultParagraphFont"/>
    <w:uiPriority w:val="99"/>
    <w:qFormat/>
    <w:rsid w:val="000D093A"/>
    <w:rPr>
      <w:rFonts w:cs="Times New Roman"/>
      <w:smallCaps/>
      <w:color w:val="573354"/>
      <w:u w:val="single"/>
    </w:rPr>
  </w:style>
  <w:style w:type="character" w:styleId="IntenseReference">
    <w:name w:val="Intense Reference"/>
    <w:basedOn w:val="DefaultParagraphFont"/>
    <w:uiPriority w:val="99"/>
    <w:qFormat/>
    <w:rsid w:val="000D093A"/>
    <w:rPr>
      <w:rFonts w:cs="Times New Roman"/>
      <w:b/>
      <w:bCs/>
      <w:smallCaps/>
      <w:color w:val="573354"/>
      <w:spacing w:val="5"/>
      <w:u w:val="single"/>
    </w:rPr>
  </w:style>
  <w:style w:type="paragraph" w:styleId="ListParagraph">
    <w:name w:val="List Paragraph"/>
    <w:basedOn w:val="Normal"/>
    <w:uiPriority w:val="34"/>
    <w:qFormat/>
    <w:rsid w:val="000D093A"/>
    <w:pPr>
      <w:ind w:left="720"/>
      <w:contextualSpacing/>
    </w:pPr>
  </w:style>
  <w:style w:type="paragraph" w:styleId="NoSpacing">
    <w:name w:val="No Spacing"/>
    <w:link w:val="NoSpacingChar"/>
    <w:uiPriority w:val="99"/>
    <w:qFormat/>
    <w:rsid w:val="00C21AAE"/>
  </w:style>
  <w:style w:type="character" w:customStyle="1" w:styleId="NoSpacingChar">
    <w:name w:val="No Spacing Char"/>
    <w:basedOn w:val="DefaultParagraphFont"/>
    <w:link w:val="NoSpacing"/>
    <w:uiPriority w:val="99"/>
    <w:locked/>
    <w:rsid w:val="00C21AAE"/>
    <w:rPr>
      <w:rFonts w:cs="Times New Roman"/>
      <w:sz w:val="22"/>
      <w:szCs w:val="22"/>
      <w:lang w:val="en-GB" w:eastAsia="en-GB" w:bidi="ar-SA"/>
    </w:rPr>
  </w:style>
  <w:style w:type="paragraph" w:styleId="BalloonText">
    <w:name w:val="Balloon Text"/>
    <w:basedOn w:val="Normal"/>
    <w:link w:val="BalloonTextChar"/>
    <w:uiPriority w:val="99"/>
    <w:semiHidden/>
    <w:rsid w:val="00C2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AAE"/>
    <w:rPr>
      <w:rFonts w:ascii="Tahoma" w:hAnsi="Tahoma" w:cs="Tahoma"/>
      <w:sz w:val="16"/>
      <w:szCs w:val="16"/>
    </w:rPr>
  </w:style>
  <w:style w:type="paragraph" w:styleId="Header">
    <w:name w:val="header"/>
    <w:basedOn w:val="Normal"/>
    <w:link w:val="HeaderChar"/>
    <w:uiPriority w:val="99"/>
    <w:rsid w:val="00B079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07939"/>
    <w:rPr>
      <w:rFonts w:cs="Times New Roman"/>
    </w:rPr>
  </w:style>
  <w:style w:type="paragraph" w:styleId="Footer">
    <w:name w:val="footer"/>
    <w:basedOn w:val="Normal"/>
    <w:link w:val="FooterChar"/>
    <w:uiPriority w:val="99"/>
    <w:rsid w:val="00B0793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07939"/>
    <w:rPr>
      <w:rFonts w:cs="Times New Roman"/>
    </w:rPr>
  </w:style>
  <w:style w:type="paragraph" w:customStyle="1" w:styleId="frontpagetitle">
    <w:name w:val="front page title"/>
    <w:basedOn w:val="Title"/>
    <w:link w:val="frontpagetitleChar"/>
    <w:uiPriority w:val="99"/>
    <w:rsid w:val="00B55E63"/>
    <w:rPr>
      <w:sz w:val="120"/>
      <w:szCs w:val="120"/>
    </w:rPr>
  </w:style>
  <w:style w:type="paragraph" w:styleId="Caption">
    <w:name w:val="caption"/>
    <w:basedOn w:val="Normal"/>
    <w:next w:val="Normal"/>
    <w:uiPriority w:val="99"/>
    <w:qFormat/>
    <w:rsid w:val="00005D39"/>
    <w:pPr>
      <w:spacing w:line="240" w:lineRule="auto"/>
    </w:pPr>
    <w:rPr>
      <w:bCs/>
      <w:color w:val="858288"/>
      <w:sz w:val="18"/>
      <w:szCs w:val="18"/>
    </w:rPr>
  </w:style>
  <w:style w:type="character" w:customStyle="1" w:styleId="frontpagetitleChar">
    <w:name w:val="front page title Char"/>
    <w:basedOn w:val="TitleChar"/>
    <w:link w:val="frontpagetitle"/>
    <w:uiPriority w:val="99"/>
    <w:locked/>
    <w:rsid w:val="00B55E63"/>
    <w:rPr>
      <w:rFonts w:ascii="Georgia" w:hAnsi="Georgia" w:cs="Times New Roman"/>
      <w:color w:val="858288"/>
      <w:spacing w:val="-22"/>
      <w:kern w:val="28"/>
      <w:sz w:val="120"/>
      <w:szCs w:val="120"/>
      <w:lang w:val="en-GB"/>
    </w:rPr>
  </w:style>
  <w:style w:type="table" w:customStyle="1" w:styleId="Fourtable">
    <w:name w:val="Four table"/>
    <w:uiPriority w:val="99"/>
    <w:rsid w:val="00035ECF"/>
    <w:pPr>
      <w:spacing w:before="80" w:after="80"/>
    </w:pPr>
    <w:rPr>
      <w:sz w:val="20"/>
      <w:szCs w:val="20"/>
    </w:rPr>
    <w:tblPr>
      <w:tblInd w:w="0" w:type="dxa"/>
      <w:tblBorders>
        <w:top w:val="single" w:sz="4" w:space="0" w:color="858288"/>
        <w:left w:val="single" w:sz="4" w:space="0" w:color="858288"/>
        <w:bottom w:val="single" w:sz="4" w:space="0" w:color="858288"/>
        <w:right w:val="single" w:sz="4" w:space="0" w:color="858288"/>
        <w:insideH w:val="single" w:sz="4" w:space="0" w:color="858288"/>
        <w:insideV w:val="single" w:sz="4" w:space="0" w:color="858288"/>
      </w:tblBorders>
      <w:tblCellMar>
        <w:top w:w="0" w:type="dxa"/>
        <w:left w:w="108" w:type="dxa"/>
        <w:bottom w:w="0" w:type="dxa"/>
        <w:right w:w="108" w:type="dxa"/>
      </w:tblCellMar>
    </w:tblPr>
  </w:style>
  <w:style w:type="paragraph" w:customStyle="1" w:styleId="Coverpagetitle">
    <w:name w:val="Cover page title"/>
    <w:basedOn w:val="frontpagetitle"/>
    <w:link w:val="CoverpagetitleChar"/>
    <w:uiPriority w:val="99"/>
    <w:rsid w:val="00AC18A0"/>
  </w:style>
  <w:style w:type="character" w:customStyle="1" w:styleId="CoverpagetitleChar">
    <w:name w:val="Cover page title Char"/>
    <w:basedOn w:val="frontpagetitleChar"/>
    <w:link w:val="Coverpagetitle"/>
    <w:uiPriority w:val="99"/>
    <w:locked/>
    <w:rsid w:val="00AC18A0"/>
    <w:rPr>
      <w:rFonts w:ascii="Georgia" w:hAnsi="Georgia" w:cs="Times New Roman"/>
      <w:color w:val="858288"/>
      <w:spacing w:val="-22"/>
      <w:kern w:val="28"/>
      <w:sz w:val="120"/>
      <w:szCs w:val="120"/>
      <w:lang w:val="en-GB"/>
    </w:rPr>
  </w:style>
  <w:style w:type="paragraph" w:customStyle="1" w:styleId="Dividertitle">
    <w:name w:val="Divider title"/>
    <w:basedOn w:val="Coverpagetitle"/>
    <w:link w:val="DividertitleChar"/>
    <w:uiPriority w:val="99"/>
    <w:rsid w:val="0047296E"/>
    <w:pPr>
      <w:jc w:val="right"/>
    </w:pPr>
  </w:style>
  <w:style w:type="character" w:customStyle="1" w:styleId="DividertitleChar">
    <w:name w:val="Divider title Char"/>
    <w:basedOn w:val="CoverpagetitleChar"/>
    <w:link w:val="Dividertitle"/>
    <w:uiPriority w:val="99"/>
    <w:locked/>
    <w:rsid w:val="0047296E"/>
    <w:rPr>
      <w:rFonts w:ascii="Georgia" w:hAnsi="Georgia" w:cs="Times New Roman"/>
      <w:color w:val="858288"/>
      <w:spacing w:val="-22"/>
      <w:kern w:val="28"/>
      <w:sz w:val="120"/>
      <w:szCs w:val="120"/>
      <w:lang w:val="en-GB"/>
    </w:rPr>
  </w:style>
  <w:style w:type="character" w:styleId="Hyperlink">
    <w:name w:val="Hyperlink"/>
    <w:basedOn w:val="DefaultParagraphFont"/>
    <w:uiPriority w:val="99"/>
    <w:rsid w:val="00F15346"/>
    <w:rPr>
      <w:rFonts w:cs="Times New Roman"/>
      <w:color w:val="53284F"/>
      <w:u w:val="single"/>
    </w:rPr>
  </w:style>
  <w:style w:type="character" w:styleId="CommentReference">
    <w:name w:val="annotation reference"/>
    <w:basedOn w:val="DefaultParagraphFont"/>
    <w:uiPriority w:val="99"/>
    <w:semiHidden/>
    <w:rsid w:val="00332C28"/>
    <w:rPr>
      <w:rFonts w:cs="Times New Roman"/>
      <w:sz w:val="16"/>
      <w:szCs w:val="16"/>
    </w:rPr>
  </w:style>
  <w:style w:type="paragraph" w:styleId="CommentText">
    <w:name w:val="annotation text"/>
    <w:basedOn w:val="Normal"/>
    <w:link w:val="CommentTextChar"/>
    <w:uiPriority w:val="99"/>
    <w:semiHidden/>
    <w:rsid w:val="00332C2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32C28"/>
    <w:rPr>
      <w:rFonts w:cs="Times New Roman"/>
      <w:sz w:val="20"/>
      <w:szCs w:val="20"/>
    </w:rPr>
  </w:style>
  <w:style w:type="paragraph" w:styleId="CommentSubject">
    <w:name w:val="annotation subject"/>
    <w:basedOn w:val="CommentText"/>
    <w:next w:val="CommentText"/>
    <w:link w:val="CommentSubjectChar"/>
    <w:uiPriority w:val="99"/>
    <w:semiHidden/>
    <w:rsid w:val="00332C28"/>
    <w:rPr>
      <w:b/>
      <w:bCs/>
    </w:rPr>
  </w:style>
  <w:style w:type="character" w:customStyle="1" w:styleId="CommentSubjectChar">
    <w:name w:val="Comment Subject Char"/>
    <w:basedOn w:val="CommentTextChar"/>
    <w:link w:val="CommentSubject"/>
    <w:uiPriority w:val="99"/>
    <w:semiHidden/>
    <w:locked/>
    <w:rsid w:val="00332C28"/>
    <w:rPr>
      <w:rFonts w:cs="Times New Roman"/>
      <w:b/>
      <w:bCs/>
      <w:sz w:val="20"/>
      <w:szCs w:val="20"/>
    </w:rPr>
  </w:style>
  <w:style w:type="paragraph" w:styleId="DocumentMap">
    <w:name w:val="Document Map"/>
    <w:basedOn w:val="Normal"/>
    <w:link w:val="DocumentMapChar"/>
    <w:uiPriority w:val="99"/>
    <w:semiHidden/>
    <w:rsid w:val="00377D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 w:type="paragraph" w:styleId="EndnoteText">
    <w:name w:val="endnote text"/>
    <w:basedOn w:val="Normal"/>
    <w:link w:val="EndnoteTextChar"/>
    <w:uiPriority w:val="99"/>
    <w:semiHidden/>
    <w:unhideWhenUsed/>
    <w:rsid w:val="00AC01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121"/>
    <w:rPr>
      <w:sz w:val="20"/>
      <w:szCs w:val="20"/>
    </w:rPr>
  </w:style>
  <w:style w:type="character" w:styleId="EndnoteReference">
    <w:name w:val="endnote reference"/>
    <w:basedOn w:val="DefaultParagraphFont"/>
    <w:uiPriority w:val="99"/>
    <w:semiHidden/>
    <w:unhideWhenUsed/>
    <w:rsid w:val="00AC01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loyds-scholars.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38C4B-FB45-489F-93A9-4FC6C57D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2017-05-11T13:24:00Z</dcterms:created>
  <dcterms:modified xsi:type="dcterms:W3CDTF">2017-05-22T10:16:00Z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7f1e7360-c2f0-4322-8dbe-1010570be364</vt:lpwstr>
  </property>
  <property fmtid="{D5CDD505-2E9C-101B-9397-08002B2CF9AE}" pid="3" name="Classification">
    <vt:lpwstr>Confidential</vt:lpwstr>
  </property>
  <property fmtid="{D5CDD505-2E9C-101B-9397-08002B2CF9AE}" pid="4" name="HeadersandFooters">
    <vt:lpwstr>None</vt:lpwstr>
  </property>
</Properties>
</file>