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12" w:rsidRPr="008C1464" w:rsidRDefault="00315F49" w:rsidP="00A04967">
      <w:pPr>
        <w:rPr>
          <w:color w:val="005192"/>
          <w:sz w:val="48"/>
          <w:szCs w:val="48"/>
        </w:rPr>
      </w:pPr>
      <w:r w:rsidRPr="00315F49">
        <w:rPr>
          <w:noProof/>
          <w:color w:val="005192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0</wp:posOffset>
            </wp:positionV>
            <wp:extent cx="1797685" cy="1232535"/>
            <wp:effectExtent l="0" t="0" r="0" b="5715"/>
            <wp:wrapTight wrapText="bothSides">
              <wp:wrapPolygon edited="0">
                <wp:start x="0" y="0"/>
                <wp:lineTo x="0" y="21366"/>
                <wp:lineTo x="21287" y="21366"/>
                <wp:lineTo x="2128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303">
        <w:rPr>
          <w:color w:val="005192"/>
          <w:sz w:val="48"/>
          <w:szCs w:val="48"/>
        </w:rPr>
        <w:t xml:space="preserve">How to use ‘now’ and a motivating ‘next’. </w:t>
      </w:r>
    </w:p>
    <w:p w:rsidR="00315F49" w:rsidRDefault="00315F49" w:rsidP="00C349B0">
      <w:pPr>
        <w:spacing w:before="120"/>
        <w:rPr>
          <w:b/>
          <w:color w:val="005192"/>
          <w:sz w:val="24"/>
        </w:rPr>
      </w:pPr>
    </w:p>
    <w:p w:rsidR="00EF2983" w:rsidRPr="008E42E8" w:rsidRDefault="00B5449F" w:rsidP="00186ACA">
      <w:pPr>
        <w:spacing w:before="120" w:line="360" w:lineRule="auto"/>
        <w:rPr>
          <w:b/>
          <w:color w:val="005192"/>
          <w:sz w:val="24"/>
        </w:rPr>
      </w:pPr>
      <w:r w:rsidRPr="008E42E8">
        <w:rPr>
          <w:b/>
          <w:color w:val="005192"/>
          <w:sz w:val="24"/>
        </w:rPr>
        <w:t>Why?</w:t>
      </w:r>
    </w:p>
    <w:p w:rsidR="00AF2303" w:rsidRDefault="00AF2303" w:rsidP="00186ACA">
      <w:pPr>
        <w:pStyle w:val="ListParagraph"/>
        <w:numPr>
          <w:ilvl w:val="0"/>
          <w:numId w:val="11"/>
        </w:numPr>
        <w:tabs>
          <w:tab w:val="left" w:pos="5040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AF2303">
        <w:rPr>
          <w:sz w:val="24"/>
        </w:rPr>
        <w:t>Now, next (or first, then)</w:t>
      </w:r>
      <w:r w:rsidRPr="00AF2303">
        <w:rPr>
          <w:b/>
          <w:sz w:val="24"/>
        </w:rPr>
        <w:t xml:space="preserve"> </w:t>
      </w:r>
      <w:r w:rsidRPr="00AF2303">
        <w:rPr>
          <w:sz w:val="24"/>
        </w:rPr>
        <w:t>boards can be used to support a c</w:t>
      </w:r>
      <w:r w:rsidR="00EC597B">
        <w:rPr>
          <w:sz w:val="24"/>
        </w:rPr>
        <w:t>hild to engage in less favoured</w:t>
      </w:r>
      <w:r w:rsidRPr="00AF2303">
        <w:rPr>
          <w:noProof/>
        </w:rPr>
        <w:t xml:space="preserve"> </w:t>
      </w:r>
      <w:r w:rsidRPr="00AF2303">
        <w:rPr>
          <w:sz w:val="24"/>
        </w:rPr>
        <w:t xml:space="preserve">activities. </w:t>
      </w:r>
    </w:p>
    <w:p w:rsidR="00AF2303" w:rsidRDefault="00AF2303" w:rsidP="00186ACA">
      <w:pPr>
        <w:pStyle w:val="ListParagraph"/>
        <w:numPr>
          <w:ilvl w:val="0"/>
          <w:numId w:val="11"/>
        </w:numPr>
        <w:tabs>
          <w:tab w:val="left" w:pos="5040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AF2303">
        <w:rPr>
          <w:sz w:val="24"/>
        </w:rPr>
        <w:t xml:space="preserve">Now, next boards provide the child or young person with information about what they will be doing and what it will be followed by. </w:t>
      </w:r>
    </w:p>
    <w:p w:rsidR="00EF2983" w:rsidRPr="00186ACA" w:rsidRDefault="00AF2303" w:rsidP="00186ACA">
      <w:pPr>
        <w:pStyle w:val="ListParagraph"/>
        <w:numPr>
          <w:ilvl w:val="0"/>
          <w:numId w:val="11"/>
        </w:numPr>
        <w:tabs>
          <w:tab w:val="left" w:pos="5040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>A p</w:t>
      </w:r>
      <w:r w:rsidRPr="00AF2303">
        <w:rPr>
          <w:sz w:val="24"/>
        </w:rPr>
        <w:t xml:space="preserve">icture, </w:t>
      </w:r>
      <w:r>
        <w:rPr>
          <w:sz w:val="24"/>
        </w:rPr>
        <w:t>photograph, object of reference or symbol provides a visual prompt.</w:t>
      </w:r>
      <w:r w:rsidRPr="00AF2303">
        <w:rPr>
          <w:sz w:val="24"/>
        </w:rPr>
        <w:t xml:space="preserve"> </w:t>
      </w:r>
    </w:p>
    <w:p w:rsidR="007F249D" w:rsidRPr="007F249D" w:rsidRDefault="007F249D" w:rsidP="00186ACA">
      <w:pPr>
        <w:spacing w:before="120" w:line="360" w:lineRule="auto"/>
        <w:rPr>
          <w:b/>
          <w:color w:val="005192"/>
          <w:sz w:val="16"/>
          <w:szCs w:val="16"/>
        </w:rPr>
      </w:pPr>
    </w:p>
    <w:p w:rsidR="00767C87" w:rsidRPr="008E42E8" w:rsidRDefault="00767C87" w:rsidP="00186ACA">
      <w:pPr>
        <w:spacing w:before="120" w:line="360" w:lineRule="auto"/>
        <w:rPr>
          <w:b/>
          <w:color w:val="005192"/>
          <w:sz w:val="24"/>
        </w:rPr>
      </w:pPr>
      <w:r>
        <w:rPr>
          <w:b/>
          <w:color w:val="005192"/>
          <w:sz w:val="24"/>
        </w:rPr>
        <w:t>You will need</w:t>
      </w:r>
      <w:r w:rsidR="00C52BF1">
        <w:rPr>
          <w:b/>
          <w:color w:val="005192"/>
          <w:sz w:val="24"/>
        </w:rPr>
        <w:t>:</w:t>
      </w:r>
    </w:p>
    <w:p w:rsidR="006439D1" w:rsidRDefault="00CE4E35" w:rsidP="00186ACA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To s</w:t>
      </w:r>
      <w:r w:rsidR="00315F49">
        <w:rPr>
          <w:sz w:val="24"/>
        </w:rPr>
        <w:t xml:space="preserve">elect the type of visual prompt that the child is most likely to understand - object of reference / symbol / picture / photograph. </w:t>
      </w:r>
    </w:p>
    <w:p w:rsidR="00767C87" w:rsidRDefault="00315F49" w:rsidP="00186ACA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A board with ‘now’ and ‘next’.</w:t>
      </w:r>
    </w:p>
    <w:p w:rsidR="00767C87" w:rsidRDefault="00315F49" w:rsidP="00186ACA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A finished box or envelope. </w:t>
      </w:r>
    </w:p>
    <w:p w:rsidR="007F249D" w:rsidRPr="007F249D" w:rsidRDefault="007F249D" w:rsidP="00186ACA">
      <w:pPr>
        <w:spacing w:before="120" w:line="360" w:lineRule="auto"/>
        <w:rPr>
          <w:b/>
          <w:color w:val="005192"/>
          <w:sz w:val="16"/>
          <w:szCs w:val="16"/>
        </w:rPr>
      </w:pPr>
    </w:p>
    <w:p w:rsidR="006439D1" w:rsidRPr="008E42E8" w:rsidRDefault="006439D1" w:rsidP="00186ACA">
      <w:pPr>
        <w:spacing w:before="120" w:line="360" w:lineRule="auto"/>
        <w:rPr>
          <w:b/>
          <w:color w:val="005192"/>
          <w:sz w:val="24"/>
        </w:rPr>
      </w:pPr>
      <w:r w:rsidRPr="008E42E8">
        <w:rPr>
          <w:b/>
          <w:color w:val="005192"/>
          <w:sz w:val="24"/>
        </w:rPr>
        <w:t>How to</w:t>
      </w:r>
      <w:r w:rsidR="00C52BF1">
        <w:rPr>
          <w:b/>
          <w:color w:val="005192"/>
          <w:sz w:val="24"/>
        </w:rPr>
        <w:t xml:space="preserve"> introduce and use ‘now and next’.</w:t>
      </w:r>
    </w:p>
    <w:p w:rsidR="00315F49" w:rsidRDefault="00315F49" w:rsidP="00186ACA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  <w:bCs/>
          <w:szCs w:val="22"/>
        </w:rPr>
      </w:pPr>
      <w:r w:rsidRPr="00B11462">
        <w:rPr>
          <w:rFonts w:ascii="Arial" w:hAnsi="Arial" w:cs="Arial"/>
          <w:bCs/>
          <w:szCs w:val="22"/>
        </w:rPr>
        <w:t>Start with two activities that the child or young person enjoys.</w:t>
      </w:r>
    </w:p>
    <w:p w:rsidR="00315F49" w:rsidRPr="00934EFA" w:rsidRDefault="00315F49" w:rsidP="00186ACA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Attach cards to a labelled board or card with Velcro.</w:t>
      </w:r>
    </w:p>
    <w:p w:rsidR="00315F49" w:rsidRPr="00145879" w:rsidRDefault="00315F49" w:rsidP="00186ACA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145879">
        <w:rPr>
          <w:rFonts w:ascii="Arial" w:hAnsi="Arial" w:cs="Arial"/>
          <w:bCs/>
          <w:szCs w:val="22"/>
        </w:rPr>
        <w:t xml:space="preserve">For the </w:t>
      </w:r>
      <w:r w:rsidRPr="00145879">
        <w:rPr>
          <w:rFonts w:ascii="Arial" w:hAnsi="Arial" w:cs="Arial"/>
          <w:b/>
          <w:bCs/>
          <w:szCs w:val="22"/>
        </w:rPr>
        <w:t>now</w:t>
      </w:r>
      <w:r w:rsidRPr="00145879">
        <w:rPr>
          <w:rFonts w:ascii="Arial" w:hAnsi="Arial" w:cs="Arial"/>
          <w:bCs/>
          <w:szCs w:val="22"/>
        </w:rPr>
        <w:t xml:space="preserve"> column, choose an activity that has an obvious finish, such as a </w:t>
      </w:r>
      <w:r>
        <w:rPr>
          <w:rFonts w:ascii="Arial" w:hAnsi="Arial" w:cs="Arial"/>
          <w:bCs/>
          <w:szCs w:val="22"/>
        </w:rPr>
        <w:t xml:space="preserve">story. </w:t>
      </w:r>
      <w:r w:rsidRPr="00145879">
        <w:rPr>
          <w:rFonts w:ascii="Arial" w:hAnsi="Arial" w:cs="Arial"/>
          <w:bCs/>
          <w:szCs w:val="22"/>
        </w:rPr>
        <w:t>Point to the first activity and say, “</w:t>
      </w:r>
      <w:r w:rsidRPr="00145879">
        <w:rPr>
          <w:rFonts w:ascii="Arial" w:hAnsi="Arial" w:cs="Arial"/>
          <w:b/>
          <w:bCs/>
          <w:szCs w:val="22"/>
        </w:rPr>
        <w:t>now</w:t>
      </w:r>
      <w:r w:rsidRPr="00145879">
        <w:rPr>
          <w:rFonts w:ascii="Arial" w:hAnsi="Arial" w:cs="Arial"/>
          <w:bCs/>
          <w:szCs w:val="22"/>
        </w:rPr>
        <w:t xml:space="preserve"> story - </w:t>
      </w:r>
      <w:r w:rsidRPr="00145879">
        <w:rPr>
          <w:rFonts w:ascii="Arial" w:hAnsi="Arial" w:cs="Arial"/>
          <w:b/>
          <w:bCs/>
          <w:szCs w:val="22"/>
        </w:rPr>
        <w:t xml:space="preserve">next </w:t>
      </w:r>
      <w:r>
        <w:rPr>
          <w:rFonts w:ascii="Arial" w:hAnsi="Arial" w:cs="Arial"/>
          <w:bCs/>
          <w:szCs w:val="22"/>
        </w:rPr>
        <w:t>bubbles</w:t>
      </w:r>
      <w:r w:rsidRPr="00145879">
        <w:rPr>
          <w:rFonts w:ascii="Arial" w:hAnsi="Arial" w:cs="Arial"/>
          <w:bCs/>
        </w:rPr>
        <w:t>”</w:t>
      </w:r>
    </w:p>
    <w:p w:rsidR="00315F49" w:rsidRPr="002B5CBD" w:rsidRDefault="00315F49" w:rsidP="00186ACA">
      <w:pPr>
        <w:pStyle w:val="ListParagraph"/>
        <w:numPr>
          <w:ilvl w:val="0"/>
          <w:numId w:val="12"/>
        </w:numPr>
        <w:tabs>
          <w:tab w:val="left" w:pos="0"/>
        </w:tabs>
        <w:spacing w:line="360" w:lineRule="auto"/>
        <w:rPr>
          <w:sz w:val="24"/>
        </w:rPr>
      </w:pPr>
      <w:r w:rsidRPr="002B5CBD">
        <w:rPr>
          <w:rFonts w:cs="Arial"/>
          <w:bCs/>
          <w:sz w:val="24"/>
        </w:rPr>
        <w:t>When the first activity is completed, take off the picture / symbol / object and place it in a finished box / envelope. Point to the second activity and say, “</w:t>
      </w:r>
      <w:r w:rsidRPr="002B5CBD">
        <w:rPr>
          <w:rFonts w:cs="Arial"/>
          <w:b/>
          <w:bCs/>
          <w:sz w:val="24"/>
        </w:rPr>
        <w:t>next</w:t>
      </w:r>
      <w:r w:rsidRPr="002B5CBD">
        <w:rPr>
          <w:rFonts w:cs="Arial"/>
          <w:bCs/>
          <w:sz w:val="24"/>
        </w:rPr>
        <w:t xml:space="preserve"> bubbles”</w:t>
      </w:r>
    </w:p>
    <w:p w:rsidR="00315F49" w:rsidRPr="00B11462" w:rsidRDefault="00315F49" w:rsidP="00186ACA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  <w:bCs/>
          <w:szCs w:val="22"/>
        </w:rPr>
      </w:pPr>
      <w:r w:rsidRPr="00B11462">
        <w:rPr>
          <w:rFonts w:ascii="Arial" w:hAnsi="Arial" w:cs="Arial"/>
          <w:bCs/>
          <w:szCs w:val="22"/>
        </w:rPr>
        <w:t xml:space="preserve">The child or young person may not understand the words but, if used consistently, they will come to understand the concept. </w:t>
      </w:r>
    </w:p>
    <w:p w:rsidR="00315F49" w:rsidRDefault="00315F49" w:rsidP="00186ACA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  <w:bCs/>
          <w:szCs w:val="22"/>
        </w:rPr>
      </w:pPr>
      <w:r w:rsidRPr="00B11462">
        <w:rPr>
          <w:rFonts w:ascii="Arial" w:hAnsi="Arial" w:cs="Arial"/>
          <w:bCs/>
          <w:szCs w:val="22"/>
        </w:rPr>
        <w:t xml:space="preserve">You </w:t>
      </w:r>
      <w:r w:rsidRPr="002B5CBD">
        <w:rPr>
          <w:rFonts w:ascii="Arial" w:hAnsi="Arial" w:cs="Arial"/>
          <w:b/>
          <w:bCs/>
          <w:szCs w:val="22"/>
        </w:rPr>
        <w:t>must always</w:t>
      </w:r>
      <w:r w:rsidRPr="00B11462">
        <w:rPr>
          <w:rFonts w:ascii="Arial" w:hAnsi="Arial" w:cs="Arial"/>
          <w:bCs/>
          <w:szCs w:val="22"/>
        </w:rPr>
        <w:t xml:space="preserve"> follow through on the activities offered to build trust in the process.</w:t>
      </w:r>
    </w:p>
    <w:p w:rsidR="00315F49" w:rsidRDefault="00315F49" w:rsidP="00186ACA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  <w:bCs/>
          <w:szCs w:val="22"/>
        </w:rPr>
      </w:pPr>
      <w:r w:rsidRPr="005A70CC">
        <w:rPr>
          <w:rFonts w:ascii="Arial" w:hAnsi="Arial" w:cs="Arial"/>
          <w:bCs/>
          <w:szCs w:val="22"/>
        </w:rPr>
        <w:t>When the child or young person engages with the board, a less motivating activity can be introduced in the</w:t>
      </w:r>
      <w:r w:rsidRPr="005D0E3A">
        <w:rPr>
          <w:rFonts w:ascii="Arial" w:hAnsi="Arial" w:cs="Arial"/>
          <w:b/>
          <w:bCs/>
          <w:szCs w:val="22"/>
        </w:rPr>
        <w:t xml:space="preserve"> now</w:t>
      </w:r>
      <w:r w:rsidRPr="005D0E3A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column – always have a motivating </w:t>
      </w:r>
      <w:r w:rsidRPr="00E379B4">
        <w:rPr>
          <w:rFonts w:ascii="Arial" w:hAnsi="Arial" w:cs="Arial"/>
          <w:b/>
          <w:bCs/>
          <w:szCs w:val="22"/>
        </w:rPr>
        <w:t>next</w:t>
      </w:r>
      <w:r>
        <w:rPr>
          <w:rFonts w:ascii="Arial" w:hAnsi="Arial" w:cs="Arial"/>
          <w:bCs/>
          <w:szCs w:val="22"/>
        </w:rPr>
        <w:t>.</w:t>
      </w:r>
    </w:p>
    <w:p w:rsidR="00186ACA" w:rsidRPr="00186ACA" w:rsidRDefault="00315F49" w:rsidP="00186ACA">
      <w:pPr>
        <w:pStyle w:val="Default"/>
        <w:numPr>
          <w:ilvl w:val="0"/>
          <w:numId w:val="12"/>
        </w:numPr>
        <w:spacing w:line="360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lastRenderedPageBreak/>
        <w:t xml:space="preserve">Eventually, </w:t>
      </w:r>
      <w:r w:rsidRPr="00117C2A">
        <w:rPr>
          <w:rFonts w:ascii="Arial" w:hAnsi="Arial" w:cs="Arial"/>
          <w:b/>
          <w:bCs/>
          <w:szCs w:val="22"/>
        </w:rPr>
        <w:t>now, next, then</w:t>
      </w:r>
      <w:r>
        <w:rPr>
          <w:rFonts w:ascii="Arial" w:hAnsi="Arial" w:cs="Arial"/>
          <w:bCs/>
          <w:szCs w:val="22"/>
        </w:rPr>
        <w:t xml:space="preserve"> can be introduced with a motivating </w:t>
      </w:r>
      <w:r w:rsidRPr="00117C2A">
        <w:rPr>
          <w:rFonts w:ascii="Arial" w:hAnsi="Arial" w:cs="Arial"/>
          <w:b/>
          <w:bCs/>
          <w:szCs w:val="22"/>
        </w:rPr>
        <w:t>then</w:t>
      </w:r>
      <w:r>
        <w:rPr>
          <w:rFonts w:ascii="Arial" w:hAnsi="Arial" w:cs="Arial"/>
          <w:bCs/>
          <w:szCs w:val="22"/>
        </w:rPr>
        <w:t>.</w:t>
      </w:r>
    </w:p>
    <w:p w:rsidR="007A4818" w:rsidRDefault="00186ACA" w:rsidP="00556828">
      <w:pPr>
        <w:spacing w:before="120" w:line="360" w:lineRule="auto"/>
        <w:rPr>
          <w:b/>
          <w:color w:val="005192"/>
          <w:sz w:val="24"/>
        </w:rPr>
      </w:pPr>
      <w:r w:rsidRPr="00D74B61">
        <w:rPr>
          <w:b/>
          <w:noProof/>
          <w:color w:val="005192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3375" cy="1569720"/>
            <wp:effectExtent l="0" t="0" r="0" b="0"/>
            <wp:wrapTight wrapText="bothSides">
              <wp:wrapPolygon edited="0">
                <wp:start x="0" y="0"/>
                <wp:lineTo x="0" y="21233"/>
                <wp:lineTo x="21301" y="21233"/>
                <wp:lineTo x="2130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4700905</wp:posOffset>
            </wp:positionH>
            <wp:positionV relativeFrom="paragraph">
              <wp:posOffset>24130</wp:posOffset>
            </wp:positionV>
            <wp:extent cx="1961515" cy="1521460"/>
            <wp:effectExtent l="0" t="0" r="635" b="2540"/>
            <wp:wrapTight wrapText="bothSides">
              <wp:wrapPolygon edited="0">
                <wp:start x="0" y="0"/>
                <wp:lineTo x="0" y="21366"/>
                <wp:lineTo x="21397" y="21366"/>
                <wp:lineTo x="2139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ncilcase Visual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950">
        <w:rPr>
          <w:noProof/>
        </w:rPr>
        <w:drawing>
          <wp:anchor distT="0" distB="0" distL="114300" distR="114300" simplePos="0" relativeHeight="251660288" behindDoc="1" locked="0" layoutInCell="1" allowOverlap="1" wp14:anchorId="7C6C9E95" wp14:editId="6E0CB60F">
            <wp:simplePos x="0" y="0"/>
            <wp:positionH relativeFrom="margin">
              <wp:posOffset>1974421</wp:posOffset>
            </wp:positionH>
            <wp:positionV relativeFrom="paragraph">
              <wp:posOffset>98</wp:posOffset>
            </wp:positionV>
            <wp:extent cx="22860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20" y="21337"/>
                <wp:lineTo x="2142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818" w:rsidRDefault="007A4818" w:rsidP="00556828">
      <w:pPr>
        <w:spacing w:before="120" w:line="360" w:lineRule="auto"/>
        <w:rPr>
          <w:b/>
          <w:color w:val="005192"/>
          <w:sz w:val="24"/>
        </w:rPr>
      </w:pPr>
    </w:p>
    <w:p w:rsidR="00767C87" w:rsidRDefault="00767C87" w:rsidP="00556828">
      <w:pPr>
        <w:spacing w:before="120" w:line="360" w:lineRule="auto"/>
        <w:rPr>
          <w:b/>
          <w:color w:val="005192"/>
          <w:sz w:val="24"/>
        </w:rPr>
      </w:pPr>
    </w:p>
    <w:p w:rsidR="00767C87" w:rsidRDefault="00767C87" w:rsidP="00556828">
      <w:pPr>
        <w:spacing w:before="120" w:line="360" w:lineRule="auto"/>
        <w:rPr>
          <w:b/>
          <w:color w:val="005192"/>
          <w:sz w:val="24"/>
        </w:rPr>
      </w:pPr>
    </w:p>
    <w:p w:rsidR="007F249D" w:rsidRDefault="007F249D" w:rsidP="00186ACA">
      <w:pPr>
        <w:spacing w:before="120" w:line="360" w:lineRule="auto"/>
        <w:rPr>
          <w:b/>
          <w:color w:val="005192"/>
          <w:sz w:val="24"/>
        </w:rPr>
      </w:pPr>
    </w:p>
    <w:p w:rsidR="006439D1" w:rsidRPr="008E42E8" w:rsidRDefault="00C52BF1" w:rsidP="00186ACA">
      <w:pPr>
        <w:spacing w:before="120" w:line="360" w:lineRule="auto"/>
        <w:rPr>
          <w:b/>
          <w:color w:val="005192"/>
          <w:sz w:val="24"/>
        </w:rPr>
      </w:pPr>
      <w:r>
        <w:rPr>
          <w:b/>
          <w:color w:val="005192"/>
          <w:sz w:val="24"/>
        </w:rPr>
        <w:t>Things to n</w:t>
      </w:r>
      <w:r w:rsidR="006439D1" w:rsidRPr="008E42E8">
        <w:rPr>
          <w:b/>
          <w:color w:val="005192"/>
          <w:sz w:val="24"/>
        </w:rPr>
        <w:t>ote</w:t>
      </w:r>
      <w:r>
        <w:rPr>
          <w:b/>
          <w:color w:val="005192"/>
          <w:sz w:val="24"/>
        </w:rPr>
        <w:t>:</w:t>
      </w:r>
    </w:p>
    <w:p w:rsidR="00FF4160" w:rsidRDefault="00AE719A" w:rsidP="00186ACA">
      <w:pPr>
        <w:numPr>
          <w:ilvl w:val="0"/>
          <w:numId w:val="8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A ‘now and next’ board can go ‘left to right’ or ‘top to bottom’ but cho</w:t>
      </w:r>
      <w:r w:rsidR="007E48D9">
        <w:rPr>
          <w:sz w:val="24"/>
        </w:rPr>
        <w:t xml:space="preserve">ose one orientation and </w:t>
      </w:r>
      <w:r>
        <w:rPr>
          <w:sz w:val="24"/>
        </w:rPr>
        <w:t xml:space="preserve">use it consistently.  </w:t>
      </w:r>
    </w:p>
    <w:p w:rsidR="007E48D9" w:rsidRDefault="007E48D9" w:rsidP="00186ACA">
      <w:pPr>
        <w:numPr>
          <w:ilvl w:val="0"/>
          <w:numId w:val="8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At first the child may not recognise the object of reference / symbol / picture / photograph but over time they will begin to associate meaning</w:t>
      </w:r>
      <w:r w:rsidR="002B18ED">
        <w:rPr>
          <w:sz w:val="24"/>
        </w:rPr>
        <w:t xml:space="preserve"> to the visual prompt</w:t>
      </w:r>
      <w:r>
        <w:rPr>
          <w:sz w:val="24"/>
        </w:rPr>
        <w:t xml:space="preserve">.  </w:t>
      </w:r>
    </w:p>
    <w:p w:rsidR="00561373" w:rsidRPr="007F249D" w:rsidRDefault="00561373" w:rsidP="00186ACA">
      <w:pPr>
        <w:spacing w:line="360" w:lineRule="auto"/>
        <w:rPr>
          <w:sz w:val="16"/>
          <w:szCs w:val="16"/>
        </w:rPr>
      </w:pPr>
    </w:p>
    <w:p w:rsidR="00561373" w:rsidRPr="00561373" w:rsidRDefault="00561373" w:rsidP="00C52BF1">
      <w:pPr>
        <w:spacing w:line="360" w:lineRule="auto"/>
        <w:rPr>
          <w:b/>
          <w:color w:val="2F5496" w:themeColor="accent1" w:themeShade="BF"/>
          <w:sz w:val="24"/>
        </w:rPr>
      </w:pPr>
      <w:r w:rsidRPr="00561373">
        <w:rPr>
          <w:b/>
          <w:color w:val="2F5496" w:themeColor="accent1" w:themeShade="BF"/>
          <w:sz w:val="24"/>
        </w:rPr>
        <w:t>Ensure visuals are:</w:t>
      </w:r>
    </w:p>
    <w:p w:rsidR="00561373" w:rsidRDefault="00851628" w:rsidP="00186ACA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7F249D">
        <w:rPr>
          <w:b/>
          <w:sz w:val="24"/>
        </w:rPr>
        <w:t>A</w:t>
      </w:r>
      <w:r w:rsidR="00561373" w:rsidRPr="007F249D">
        <w:rPr>
          <w:b/>
          <w:sz w:val="24"/>
        </w:rPr>
        <w:t>ccessible</w:t>
      </w:r>
      <w:r w:rsidRPr="007F249D">
        <w:rPr>
          <w:b/>
          <w:sz w:val="24"/>
        </w:rPr>
        <w:t xml:space="preserve"> or P</w:t>
      </w:r>
      <w:r w:rsidR="00561373" w:rsidRPr="007F249D">
        <w:rPr>
          <w:b/>
          <w:sz w:val="24"/>
        </w:rPr>
        <w:t>ortable</w:t>
      </w:r>
      <w:r w:rsidR="00561373" w:rsidRPr="007F249D">
        <w:rPr>
          <w:sz w:val="24"/>
        </w:rPr>
        <w:t xml:space="preserve"> </w:t>
      </w:r>
      <w:r w:rsidR="00561373">
        <w:rPr>
          <w:sz w:val="24"/>
        </w:rPr>
        <w:t xml:space="preserve">– </w:t>
      </w:r>
      <w:r>
        <w:rPr>
          <w:sz w:val="24"/>
        </w:rPr>
        <w:t xml:space="preserve">Place visuals </w:t>
      </w:r>
      <w:r w:rsidR="00561373">
        <w:rPr>
          <w:sz w:val="24"/>
        </w:rPr>
        <w:t xml:space="preserve">at the child’s eye level on a wall or </w:t>
      </w:r>
      <w:r>
        <w:rPr>
          <w:sz w:val="24"/>
        </w:rPr>
        <w:t xml:space="preserve">make them </w:t>
      </w:r>
      <w:r w:rsidR="00561373">
        <w:rPr>
          <w:sz w:val="24"/>
        </w:rPr>
        <w:t>portable for use in different areas of the setting</w:t>
      </w:r>
      <w:r>
        <w:rPr>
          <w:sz w:val="24"/>
        </w:rPr>
        <w:t>.</w:t>
      </w:r>
    </w:p>
    <w:p w:rsidR="00561373" w:rsidRDefault="00561373" w:rsidP="00186ACA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7F249D">
        <w:rPr>
          <w:b/>
          <w:sz w:val="24"/>
        </w:rPr>
        <w:t xml:space="preserve">Durable </w:t>
      </w:r>
      <w:r w:rsidRPr="00561373">
        <w:rPr>
          <w:sz w:val="24"/>
        </w:rPr>
        <w:t>–</w:t>
      </w:r>
      <w:r>
        <w:rPr>
          <w:sz w:val="24"/>
        </w:rPr>
        <w:t xml:space="preserve"> If laminated</w:t>
      </w:r>
      <w:r w:rsidR="00851628">
        <w:rPr>
          <w:sz w:val="24"/>
        </w:rPr>
        <w:t>,</w:t>
      </w:r>
      <w:r>
        <w:rPr>
          <w:sz w:val="24"/>
        </w:rPr>
        <w:t xml:space="preserve"> matt pouches are more appropriate for children with sensory needs.</w:t>
      </w:r>
    </w:p>
    <w:p w:rsidR="00561373" w:rsidRDefault="00561373" w:rsidP="00186ACA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7F249D">
        <w:rPr>
          <w:b/>
          <w:sz w:val="24"/>
        </w:rPr>
        <w:t>Personalised</w:t>
      </w:r>
      <w:r w:rsidRPr="007F249D">
        <w:rPr>
          <w:sz w:val="24"/>
        </w:rPr>
        <w:t xml:space="preserve"> </w:t>
      </w:r>
      <w:r>
        <w:rPr>
          <w:sz w:val="24"/>
        </w:rPr>
        <w:t>– What works for one child may not work for another. Some children may not be able to generalised</w:t>
      </w:r>
      <w:r w:rsidR="00851628">
        <w:rPr>
          <w:sz w:val="24"/>
        </w:rPr>
        <w:t>,</w:t>
      </w:r>
      <w:r>
        <w:rPr>
          <w:sz w:val="24"/>
        </w:rPr>
        <w:t xml:space="preserve"> so a picture of an apple to represent </w:t>
      </w:r>
      <w:r w:rsidR="00851628">
        <w:rPr>
          <w:sz w:val="24"/>
        </w:rPr>
        <w:t>‘</w:t>
      </w:r>
      <w:r>
        <w:rPr>
          <w:sz w:val="24"/>
        </w:rPr>
        <w:t>snack</w:t>
      </w:r>
      <w:r w:rsidR="00851628">
        <w:rPr>
          <w:sz w:val="24"/>
        </w:rPr>
        <w:t>’</w:t>
      </w:r>
      <w:r>
        <w:rPr>
          <w:sz w:val="24"/>
        </w:rPr>
        <w:t xml:space="preserve"> may mean ‘apple’ rather than ‘fruit’ or ‘snack’. </w:t>
      </w:r>
    </w:p>
    <w:p w:rsidR="00C349B0" w:rsidRPr="007F249D" w:rsidRDefault="00925444" w:rsidP="007F249D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>
        <w:rPr>
          <w:noProof/>
          <w:color w:val="00519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4A0C08" wp14:editId="30BC5A96">
                <wp:simplePos x="0" y="0"/>
                <wp:positionH relativeFrom="margin">
                  <wp:posOffset>-35240</wp:posOffset>
                </wp:positionH>
                <wp:positionV relativeFrom="paragraph">
                  <wp:posOffset>521303</wp:posOffset>
                </wp:positionV>
                <wp:extent cx="6733540" cy="95250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3540" cy="952500"/>
                        </a:xfrm>
                        <a:prstGeom prst="roundRect">
                          <a:avLst>
                            <a:gd name="adj" fmla="val 14444"/>
                          </a:avLst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ACA" w:rsidRPr="007F249D" w:rsidRDefault="007F249D" w:rsidP="007F249D">
                            <w:pPr>
                              <w:spacing w:line="360" w:lineRule="auto"/>
                              <w:rPr>
                                <w:b/>
                                <w:color w:val="005192"/>
                                <w:sz w:val="24"/>
                              </w:rPr>
                            </w:pPr>
                            <w:r w:rsidRPr="007F249D">
                              <w:rPr>
                                <w:b/>
                                <w:color w:val="005192"/>
                                <w:sz w:val="24"/>
                              </w:rPr>
                              <w:t xml:space="preserve">Reference / </w:t>
                            </w:r>
                            <w:r w:rsidR="00186ACA" w:rsidRPr="007F249D">
                              <w:rPr>
                                <w:b/>
                                <w:color w:val="005192"/>
                                <w:sz w:val="24"/>
                              </w:rPr>
                              <w:t>Evidence base – informed by</w:t>
                            </w:r>
                            <w:r w:rsidRPr="007F249D">
                              <w:rPr>
                                <w:b/>
                                <w:color w:val="005192"/>
                                <w:sz w:val="24"/>
                              </w:rPr>
                              <w:t>:</w:t>
                            </w:r>
                            <w:r w:rsidR="00186ACA" w:rsidRPr="007F249D">
                              <w:rPr>
                                <w:b/>
                                <w:color w:val="005192"/>
                                <w:sz w:val="24"/>
                              </w:rPr>
                              <w:t xml:space="preserve"> </w:t>
                            </w:r>
                          </w:p>
                          <w:p w:rsidR="00186ACA" w:rsidRDefault="00925444" w:rsidP="007F249D">
                            <w:pPr>
                              <w:spacing w:line="360" w:lineRule="auto"/>
                            </w:pPr>
                            <w:hyperlink r:id="rId15" w:history="1">
                              <w:r w:rsidR="00186ACA" w:rsidRPr="007F249D">
                                <w:rPr>
                                  <w:rStyle w:val="Hyperlink"/>
                                  <w:sz w:val="24"/>
                                </w:rPr>
                                <w:t>I CAN, the children's communication charity</w:t>
                              </w:r>
                            </w:hyperlink>
                          </w:p>
                          <w:p w:rsidR="00186ACA" w:rsidRPr="00FF4160" w:rsidRDefault="00186ACA" w:rsidP="00186AC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Marlene Cohen &amp; Donna Sloan ‘Visual Supports for People with Autism’ Woodbine House 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4A0C08" id="AutoShape 8" o:spid="_x0000_s1026" style="position:absolute;left:0;text-align:left;margin-left:-2.75pt;margin-top:41.05pt;width:530.2pt;height: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" fillcolor="#eaeaea" stroked="f">
                <v:textbox>
                  <w:txbxContent>
                    <w:p w:rsidR="00186ACA" w:rsidRPr="007F249D" w:rsidRDefault="007F249D" w:rsidP="007F249D">
                      <w:pPr>
                        <w:spacing w:line="360" w:lineRule="auto"/>
                        <w:rPr>
                          <w:b/>
                          <w:color w:val="005192"/>
                          <w:sz w:val="24"/>
                        </w:rPr>
                      </w:pPr>
                      <w:r w:rsidRPr="007F249D">
                        <w:rPr>
                          <w:b/>
                          <w:color w:val="005192"/>
                          <w:sz w:val="24"/>
                        </w:rPr>
                        <w:t xml:space="preserve">Reference / </w:t>
                      </w:r>
                      <w:r w:rsidR="00186ACA" w:rsidRPr="007F249D">
                        <w:rPr>
                          <w:b/>
                          <w:color w:val="005192"/>
                          <w:sz w:val="24"/>
                        </w:rPr>
                        <w:t>Evidence base – informed by</w:t>
                      </w:r>
                      <w:r w:rsidRPr="007F249D">
                        <w:rPr>
                          <w:b/>
                          <w:color w:val="005192"/>
                          <w:sz w:val="24"/>
                        </w:rPr>
                        <w:t>:</w:t>
                      </w:r>
                      <w:r w:rsidR="00186ACA" w:rsidRPr="007F249D">
                        <w:rPr>
                          <w:b/>
                          <w:color w:val="005192"/>
                          <w:sz w:val="24"/>
                        </w:rPr>
                        <w:t xml:space="preserve"> </w:t>
                      </w:r>
                    </w:p>
                    <w:p w:rsidR="00186ACA" w:rsidRDefault="00925444" w:rsidP="007F249D">
                      <w:pPr>
                        <w:spacing w:line="360" w:lineRule="auto"/>
                      </w:pPr>
                      <w:hyperlink r:id="rId16" w:history="1">
                        <w:r w:rsidR="00186ACA" w:rsidRPr="007F249D">
                          <w:rPr>
                            <w:rStyle w:val="Hyperlink"/>
                            <w:sz w:val="24"/>
                          </w:rPr>
                          <w:t>I CAN, the children's communication charity</w:t>
                        </w:r>
                      </w:hyperlink>
                    </w:p>
                    <w:p w:rsidR="00186ACA" w:rsidRPr="00FF4160" w:rsidRDefault="00186ACA" w:rsidP="00186AC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Marlene Cohen &amp; Donna Sloan ‘Visual Supports for People with Autism’ Woodbine House 2007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1628" w:rsidRPr="007F249D">
        <w:rPr>
          <w:b/>
          <w:sz w:val="24"/>
        </w:rPr>
        <w:t>C</w:t>
      </w:r>
      <w:r w:rsidR="00561373" w:rsidRPr="007F249D">
        <w:rPr>
          <w:b/>
          <w:sz w:val="24"/>
        </w:rPr>
        <w:t xml:space="preserve">onsistent </w:t>
      </w:r>
      <w:r w:rsidR="00851628" w:rsidRPr="007F249D">
        <w:rPr>
          <w:sz w:val="24"/>
        </w:rPr>
        <w:t>–</w:t>
      </w:r>
      <w:r w:rsidR="00561373" w:rsidRPr="007F249D">
        <w:rPr>
          <w:sz w:val="24"/>
        </w:rPr>
        <w:t xml:space="preserve"> </w:t>
      </w:r>
      <w:r w:rsidR="00851628" w:rsidRPr="00851628">
        <w:rPr>
          <w:sz w:val="24"/>
        </w:rPr>
        <w:t>Once symbols / ob</w:t>
      </w:r>
      <w:r w:rsidR="00851628">
        <w:rPr>
          <w:sz w:val="24"/>
        </w:rPr>
        <w:t xml:space="preserve">jects / photographs have been chosen use them consistently. Talk to parents and other settings to maintain </w:t>
      </w:r>
      <w:r w:rsidR="003F7056">
        <w:rPr>
          <w:sz w:val="24"/>
        </w:rPr>
        <w:t>consistency.</w:t>
      </w:r>
      <w:r w:rsidR="00FF4160" w:rsidRPr="007F249D">
        <w:rPr>
          <w:rFonts w:cs="Arial"/>
          <w:sz w:val="24"/>
        </w:rPr>
        <w:tab/>
      </w:r>
    </w:p>
    <w:p w:rsidR="00C349B0" w:rsidRPr="00C349B0" w:rsidRDefault="00C349B0" w:rsidP="007F249D">
      <w:pPr>
        <w:spacing w:line="360" w:lineRule="auto"/>
        <w:rPr>
          <w:sz w:val="48"/>
          <w:szCs w:val="48"/>
        </w:rPr>
      </w:pPr>
    </w:p>
    <w:p w:rsidR="00FE3C18" w:rsidRPr="00C349B0" w:rsidRDefault="00C349B0" w:rsidP="007F249D">
      <w:pPr>
        <w:tabs>
          <w:tab w:val="left" w:pos="7821"/>
        </w:tabs>
        <w:spacing w:line="360" w:lineRule="auto"/>
        <w:rPr>
          <w:sz w:val="48"/>
          <w:szCs w:val="48"/>
        </w:rPr>
      </w:pPr>
      <w:r>
        <w:rPr>
          <w:sz w:val="48"/>
          <w:szCs w:val="48"/>
        </w:rPr>
        <w:tab/>
      </w:r>
    </w:p>
    <w:sectPr w:rsidR="00FE3C18" w:rsidRPr="00C349B0" w:rsidSect="00B95CC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021" w:right="851" w:bottom="1021" w:left="851" w:header="709" w:footer="851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B0" w:rsidRDefault="00C349B0">
      <w:r>
        <w:separator/>
      </w:r>
    </w:p>
  </w:endnote>
  <w:endnote w:type="continuationSeparator" w:id="0">
    <w:p w:rsidR="00C349B0" w:rsidRDefault="00C3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12" w:rsidRDefault="00505712" w:rsidP="00983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712" w:rsidRDefault="00505712" w:rsidP="005057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08" w:rsidRPr="00C349B0" w:rsidRDefault="00C01808" w:rsidP="00C01808">
    <w:pPr>
      <w:pStyle w:val="NormalWeb"/>
      <w:kinsoku w:val="0"/>
      <w:overflowPunct w:val="0"/>
      <w:spacing w:after="0"/>
      <w:textAlignment w:val="baseline"/>
      <w:rPr>
        <w:rFonts w:ascii="Arial" w:eastAsia="MS PGothic" w:hAnsi="Arial" w:cs="Arial"/>
        <w:color w:val="000000"/>
        <w:kern w:val="24"/>
        <w:sz w:val="14"/>
        <w:szCs w:val="14"/>
      </w:rPr>
    </w:pP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© Copyright applies to the whole document - Written and developed by City of Bradford MDC            </w:t>
    </w:r>
    <w:r w:rsidR="002B18ED">
      <w:rPr>
        <w:rFonts w:ascii="Arial" w:eastAsia="MS PGothic" w:hAnsi="Arial" w:cs="Arial"/>
        <w:color w:val="000000"/>
        <w:kern w:val="24"/>
        <w:sz w:val="14"/>
        <w:szCs w:val="14"/>
      </w:rPr>
      <w:t>Created May 2022</w:t>
    </w: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        </w:t>
    </w:r>
    <w:r w:rsidR="002B18ED">
      <w:rPr>
        <w:rFonts w:ascii="Arial" w:eastAsia="MS PGothic" w:hAnsi="Arial" w:cs="Arial"/>
        <w:color w:val="000000"/>
        <w:kern w:val="24"/>
        <w:sz w:val="14"/>
        <w:szCs w:val="14"/>
      </w:rPr>
      <w:t>EY - RJ</w:t>
    </w: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 </w:t>
    </w:r>
    <w:r w:rsidR="00925444">
      <w:rPr>
        <w:rFonts w:ascii="Arial" w:eastAsia="MS PGothic" w:hAnsi="Arial" w:cs="Arial"/>
        <w:color w:val="000000"/>
        <w:kern w:val="24"/>
        <w:sz w:val="14"/>
        <w:szCs w:val="14"/>
      </w:rPr>
      <w:t>SG</w:t>
    </w:r>
    <w:bookmarkStart w:id="0" w:name="_GoBack"/>
    <w:bookmarkEnd w:id="0"/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            P</w:t>
    </w:r>
    <w:r w:rsidRPr="00C349B0">
      <w:rPr>
        <w:rStyle w:val="PageNumber"/>
        <w:rFonts w:ascii="Arial" w:hAnsi="Arial" w:cs="Arial"/>
        <w:sz w:val="14"/>
        <w:szCs w:val="14"/>
      </w:rPr>
      <w:t xml:space="preserve">age </w:t>
    </w:r>
    <w:r w:rsidRPr="00C349B0">
      <w:rPr>
        <w:rStyle w:val="PageNumber"/>
        <w:rFonts w:ascii="Arial" w:hAnsi="Arial" w:cs="Arial"/>
        <w:sz w:val="14"/>
        <w:szCs w:val="14"/>
      </w:rPr>
      <w:fldChar w:fldCharType="begin"/>
    </w:r>
    <w:r w:rsidRPr="00C349B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C349B0">
      <w:rPr>
        <w:rStyle w:val="PageNumber"/>
        <w:rFonts w:ascii="Arial" w:hAnsi="Arial" w:cs="Arial"/>
        <w:sz w:val="14"/>
        <w:szCs w:val="14"/>
      </w:rPr>
      <w:fldChar w:fldCharType="separate"/>
    </w:r>
    <w:r w:rsidR="00925444">
      <w:rPr>
        <w:rStyle w:val="PageNumber"/>
        <w:rFonts w:ascii="Arial" w:hAnsi="Arial" w:cs="Arial"/>
        <w:noProof/>
        <w:sz w:val="14"/>
        <w:szCs w:val="14"/>
      </w:rPr>
      <w:t>2</w:t>
    </w:r>
    <w:r w:rsidRPr="00C349B0">
      <w:rPr>
        <w:rStyle w:val="PageNumber"/>
        <w:rFonts w:ascii="Arial" w:hAnsi="Arial" w:cs="Arial"/>
        <w:sz w:val="14"/>
        <w:szCs w:val="14"/>
      </w:rPr>
      <w:fldChar w:fldCharType="end"/>
    </w:r>
    <w:r w:rsidRPr="00C349B0">
      <w:rPr>
        <w:rStyle w:val="PageNumber"/>
        <w:rFonts w:ascii="Arial" w:hAnsi="Arial" w:cs="Arial"/>
        <w:sz w:val="14"/>
        <w:szCs w:val="14"/>
      </w:rPr>
      <w:t xml:space="preserve"> of 2</w:t>
    </w:r>
    <w:r w:rsidRPr="00C349B0">
      <w:rPr>
        <w:rStyle w:val="PageNumber"/>
        <w:rFonts w:ascii="Arial" w:hAnsi="Arial" w:cs="Arial"/>
        <w:sz w:val="20"/>
        <w:szCs w:val="20"/>
      </w:rPr>
      <w:t xml:space="preserve"> </w:t>
    </w:r>
  </w:p>
  <w:p w:rsidR="00505712" w:rsidRDefault="00505712" w:rsidP="00B95CC5">
    <w:pPr>
      <w:pStyle w:val="Footer"/>
      <w:tabs>
        <w:tab w:val="clear" w:pos="4153"/>
        <w:tab w:val="clear" w:pos="8306"/>
        <w:tab w:val="center" w:pos="5220"/>
        <w:tab w:val="right" w:pos="990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44" w:rsidRDefault="00925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B0" w:rsidRDefault="00C349B0">
      <w:r>
        <w:separator/>
      </w:r>
    </w:p>
  </w:footnote>
  <w:footnote w:type="continuationSeparator" w:id="0">
    <w:p w:rsidR="00C349B0" w:rsidRDefault="00C3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44" w:rsidRDefault="00925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A4" w:rsidRDefault="009011A4" w:rsidP="009011A4">
    <w:pPr>
      <w:pStyle w:val="Deparmentname"/>
      <w:rPr>
        <w:color w:val="005192"/>
      </w:rPr>
    </w:pPr>
    <w:r w:rsidRPr="008C1464">
      <w:rPr>
        <w:color w:val="006871"/>
      </w:rPr>
      <w:t>S</w:t>
    </w:r>
    <w:r w:rsidR="00186A17">
      <w:rPr>
        <w:color w:val="006871"/>
      </w:rPr>
      <w:t>CIL</w:t>
    </w:r>
    <w:r>
      <w:rPr>
        <w:color w:val="006871"/>
      </w:rPr>
      <w:t xml:space="preserve"> Team</w:t>
    </w:r>
    <w:r w:rsidR="00C358D7">
      <w:rPr>
        <w:noProof/>
        <w:color w:val="006871"/>
      </w:rPr>
      <w:drawing>
        <wp:anchor distT="0" distB="0" distL="114300" distR="114300" simplePos="0" relativeHeight="251657216" behindDoc="0" locked="0" layoutInCell="1" allowOverlap="1" wp14:anchorId="392E1AF6" wp14:editId="0338EF33">
          <wp:simplePos x="0" y="0"/>
          <wp:positionH relativeFrom="column">
            <wp:posOffset>3748405</wp:posOffset>
          </wp:positionH>
          <wp:positionV relativeFrom="page">
            <wp:posOffset>252095</wp:posOffset>
          </wp:positionV>
          <wp:extent cx="2818130" cy="778510"/>
          <wp:effectExtent l="0" t="0" r="0" b="0"/>
          <wp:wrapSquare wrapText="bothSides"/>
          <wp:docPr id="2" name="Picture 7" descr="CBMDC-colou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BMDC-colou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13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1A4" w:rsidRDefault="009011A4">
    <w:pPr>
      <w:pStyle w:val="Header"/>
    </w:pPr>
  </w:p>
  <w:p w:rsidR="00B064B1" w:rsidRDefault="00B064B1">
    <w:pPr>
      <w:pStyle w:val="Header"/>
    </w:pPr>
  </w:p>
  <w:p w:rsidR="008E42E8" w:rsidRPr="00B5449F" w:rsidRDefault="00C358D7" w:rsidP="008E42E8">
    <w:pPr>
      <w:pStyle w:val="NewsletterHeader"/>
      <w:rPr>
        <w:color w:val="005192"/>
        <w:sz w:val="96"/>
        <w:szCs w:val="96"/>
      </w:rPr>
    </w:pPr>
    <w:r>
      <w:rPr>
        <w:noProof/>
        <w:color w:val="005192"/>
        <w:sz w:val="96"/>
        <w:szCs w:val="9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CD1760" wp14:editId="7F0CC27F">
              <wp:simplePos x="0" y="0"/>
              <wp:positionH relativeFrom="column">
                <wp:posOffset>0</wp:posOffset>
              </wp:positionH>
              <wp:positionV relativeFrom="paragraph">
                <wp:posOffset>753745</wp:posOffset>
              </wp:positionV>
              <wp:extent cx="6515100" cy="228600"/>
              <wp:effectExtent l="6985" t="1905" r="254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228600"/>
                      </a:xfrm>
                      <a:prstGeom prst="roundRect">
                        <a:avLst>
                          <a:gd name="adj" fmla="val 14444"/>
                        </a:avLst>
                      </a:prstGeom>
                      <a:solidFill>
                        <a:srgbClr val="EAEA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824F6A1" id="AutoShape 1" o:spid="_x0000_s1026" style="position:absolute;margin-left:0;margin-top:59.35pt;width:513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" fillcolor="#eaeaea" stroked="f"/>
          </w:pict>
        </mc:Fallback>
      </mc:AlternateContent>
    </w:r>
    <w:r w:rsidR="009252A8">
      <w:rPr>
        <w:color w:val="005192"/>
        <w:sz w:val="96"/>
        <w:szCs w:val="96"/>
      </w:rPr>
      <w:t>Help Sheet</w:t>
    </w:r>
  </w:p>
  <w:p w:rsidR="008E42E8" w:rsidRPr="008C1464" w:rsidRDefault="007144BB" w:rsidP="008E42E8">
    <w:pPr>
      <w:pStyle w:val="Deparmentname"/>
      <w:ind w:firstLine="180"/>
      <w:rPr>
        <w:color w:val="005192"/>
        <w:sz w:val="24"/>
        <w:szCs w:val="22"/>
      </w:rPr>
    </w:pPr>
    <w:r>
      <w:rPr>
        <w:color w:val="005192"/>
        <w:sz w:val="24"/>
        <w:szCs w:val="22"/>
      </w:rPr>
      <w:t xml:space="preserve">0 – 25 Specialist Teaching </w:t>
    </w:r>
    <w:r w:rsidR="000779EA">
      <w:rPr>
        <w:color w:val="005192"/>
        <w:sz w:val="24"/>
        <w:szCs w:val="22"/>
      </w:rPr>
      <w:t xml:space="preserve">And </w:t>
    </w:r>
    <w:r>
      <w:rPr>
        <w:color w:val="005192"/>
        <w:sz w:val="24"/>
        <w:szCs w:val="22"/>
      </w:rPr>
      <w:t>Support Service</w:t>
    </w:r>
  </w:p>
  <w:p w:rsidR="008E42E8" w:rsidRPr="00C349B0" w:rsidRDefault="008E42E8">
    <w:pPr>
      <w:pStyle w:val="Header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44" w:rsidRDefault="00925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B29"/>
    <w:multiLevelType w:val="multilevel"/>
    <w:tmpl w:val="DC8A155A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97874"/>
    <w:multiLevelType w:val="hybridMultilevel"/>
    <w:tmpl w:val="9AE6CF7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1E83679"/>
    <w:multiLevelType w:val="hybridMultilevel"/>
    <w:tmpl w:val="01BE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01FF"/>
    <w:multiLevelType w:val="hybridMultilevel"/>
    <w:tmpl w:val="7344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C799A"/>
    <w:multiLevelType w:val="hybridMultilevel"/>
    <w:tmpl w:val="C0CA88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E7D5C"/>
    <w:multiLevelType w:val="hybridMultilevel"/>
    <w:tmpl w:val="016017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11B678D"/>
    <w:multiLevelType w:val="hybridMultilevel"/>
    <w:tmpl w:val="C4800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C6CCE"/>
    <w:multiLevelType w:val="hybridMultilevel"/>
    <w:tmpl w:val="BFC44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1C4A"/>
    <w:multiLevelType w:val="hybridMultilevel"/>
    <w:tmpl w:val="DAB25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E1731"/>
    <w:multiLevelType w:val="hybridMultilevel"/>
    <w:tmpl w:val="E8E640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972ED"/>
    <w:multiLevelType w:val="hybridMultilevel"/>
    <w:tmpl w:val="69401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42E51"/>
    <w:multiLevelType w:val="hybridMultilevel"/>
    <w:tmpl w:val="C3984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303F4"/>
    <w:multiLevelType w:val="hybridMultilevel"/>
    <w:tmpl w:val="A77A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 fillcolor="#eaeaea" stroke="f">
      <v:fill color="#eaeaea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rcwsLA0NrO0MLRQ0lEKTi0uzszPAykwqQUAU33PASwAAAA="/>
  </w:docVars>
  <w:rsids>
    <w:rsidRoot w:val="00C349B0"/>
    <w:rsid w:val="00010E3C"/>
    <w:rsid w:val="0004383A"/>
    <w:rsid w:val="000506C1"/>
    <w:rsid w:val="000779EA"/>
    <w:rsid w:val="000A288E"/>
    <w:rsid w:val="000B4399"/>
    <w:rsid w:val="000E3F7E"/>
    <w:rsid w:val="000E5502"/>
    <w:rsid w:val="00107DB1"/>
    <w:rsid w:val="001119FF"/>
    <w:rsid w:val="001203B8"/>
    <w:rsid w:val="001210F7"/>
    <w:rsid w:val="00132AF1"/>
    <w:rsid w:val="00144D4C"/>
    <w:rsid w:val="00150EA8"/>
    <w:rsid w:val="00166B2E"/>
    <w:rsid w:val="0016750C"/>
    <w:rsid w:val="00186A17"/>
    <w:rsid w:val="00186ACA"/>
    <w:rsid w:val="00187DC9"/>
    <w:rsid w:val="0019185A"/>
    <w:rsid w:val="001C6B5D"/>
    <w:rsid w:val="001D408A"/>
    <w:rsid w:val="00204AB7"/>
    <w:rsid w:val="002102A1"/>
    <w:rsid w:val="00222898"/>
    <w:rsid w:val="00224E5B"/>
    <w:rsid w:val="00236264"/>
    <w:rsid w:val="00284CCE"/>
    <w:rsid w:val="002900AF"/>
    <w:rsid w:val="002A7C83"/>
    <w:rsid w:val="002B18ED"/>
    <w:rsid w:val="002B5CBD"/>
    <w:rsid w:val="002D635F"/>
    <w:rsid w:val="002E16D6"/>
    <w:rsid w:val="00306E7F"/>
    <w:rsid w:val="00315F49"/>
    <w:rsid w:val="00363246"/>
    <w:rsid w:val="0038449B"/>
    <w:rsid w:val="0039681C"/>
    <w:rsid w:val="003B2A3F"/>
    <w:rsid w:val="003D1804"/>
    <w:rsid w:val="003D5ACE"/>
    <w:rsid w:val="003F7056"/>
    <w:rsid w:val="0040076B"/>
    <w:rsid w:val="0041530A"/>
    <w:rsid w:val="00480557"/>
    <w:rsid w:val="00484967"/>
    <w:rsid w:val="004948D4"/>
    <w:rsid w:val="00495F00"/>
    <w:rsid w:val="004A4092"/>
    <w:rsid w:val="004A459D"/>
    <w:rsid w:val="004B283A"/>
    <w:rsid w:val="004E3FB1"/>
    <w:rsid w:val="004E7780"/>
    <w:rsid w:val="00500AA4"/>
    <w:rsid w:val="00505663"/>
    <w:rsid w:val="00505712"/>
    <w:rsid w:val="00530CF6"/>
    <w:rsid w:val="00556828"/>
    <w:rsid w:val="00561373"/>
    <w:rsid w:val="00572D79"/>
    <w:rsid w:val="005750A8"/>
    <w:rsid w:val="00584597"/>
    <w:rsid w:val="00587E81"/>
    <w:rsid w:val="0059316C"/>
    <w:rsid w:val="005A53F3"/>
    <w:rsid w:val="005D5840"/>
    <w:rsid w:val="006061B8"/>
    <w:rsid w:val="006439D1"/>
    <w:rsid w:val="006759EE"/>
    <w:rsid w:val="00680F4B"/>
    <w:rsid w:val="00684E3D"/>
    <w:rsid w:val="006C6F66"/>
    <w:rsid w:val="00706C34"/>
    <w:rsid w:val="007144BB"/>
    <w:rsid w:val="00721320"/>
    <w:rsid w:val="0073347D"/>
    <w:rsid w:val="00740829"/>
    <w:rsid w:val="00747450"/>
    <w:rsid w:val="00755F28"/>
    <w:rsid w:val="00760854"/>
    <w:rsid w:val="00767C87"/>
    <w:rsid w:val="00772D85"/>
    <w:rsid w:val="00786187"/>
    <w:rsid w:val="00791393"/>
    <w:rsid w:val="007A4818"/>
    <w:rsid w:val="007B1638"/>
    <w:rsid w:val="007D4EB9"/>
    <w:rsid w:val="007E46C5"/>
    <w:rsid w:val="007E48D9"/>
    <w:rsid w:val="007F249D"/>
    <w:rsid w:val="007F645A"/>
    <w:rsid w:val="00851628"/>
    <w:rsid w:val="00857C9C"/>
    <w:rsid w:val="00880612"/>
    <w:rsid w:val="008C1464"/>
    <w:rsid w:val="008C35D7"/>
    <w:rsid w:val="008E42E8"/>
    <w:rsid w:val="009011A4"/>
    <w:rsid w:val="009163B1"/>
    <w:rsid w:val="0091642D"/>
    <w:rsid w:val="009252A8"/>
    <w:rsid w:val="00925444"/>
    <w:rsid w:val="00930D12"/>
    <w:rsid w:val="00941883"/>
    <w:rsid w:val="009474D2"/>
    <w:rsid w:val="0096618B"/>
    <w:rsid w:val="00983AF5"/>
    <w:rsid w:val="009A5817"/>
    <w:rsid w:val="009B2F47"/>
    <w:rsid w:val="00A04967"/>
    <w:rsid w:val="00A065BF"/>
    <w:rsid w:val="00A17A91"/>
    <w:rsid w:val="00A21631"/>
    <w:rsid w:val="00AA5A01"/>
    <w:rsid w:val="00AB668C"/>
    <w:rsid w:val="00AC68EB"/>
    <w:rsid w:val="00AE30E1"/>
    <w:rsid w:val="00AE719A"/>
    <w:rsid w:val="00AF2303"/>
    <w:rsid w:val="00B064B1"/>
    <w:rsid w:val="00B24647"/>
    <w:rsid w:val="00B5449F"/>
    <w:rsid w:val="00B65F70"/>
    <w:rsid w:val="00B76FDD"/>
    <w:rsid w:val="00B95CC5"/>
    <w:rsid w:val="00BC43EC"/>
    <w:rsid w:val="00BD2E6C"/>
    <w:rsid w:val="00C01808"/>
    <w:rsid w:val="00C1494E"/>
    <w:rsid w:val="00C30355"/>
    <w:rsid w:val="00C349B0"/>
    <w:rsid w:val="00C358D7"/>
    <w:rsid w:val="00C40448"/>
    <w:rsid w:val="00C52BF1"/>
    <w:rsid w:val="00C71A58"/>
    <w:rsid w:val="00C941F8"/>
    <w:rsid w:val="00CC21F3"/>
    <w:rsid w:val="00CE4E35"/>
    <w:rsid w:val="00D27600"/>
    <w:rsid w:val="00D30FFB"/>
    <w:rsid w:val="00D34891"/>
    <w:rsid w:val="00D55370"/>
    <w:rsid w:val="00D72DC5"/>
    <w:rsid w:val="00D74B61"/>
    <w:rsid w:val="00DA0283"/>
    <w:rsid w:val="00DC4B2A"/>
    <w:rsid w:val="00DE241E"/>
    <w:rsid w:val="00DE62B3"/>
    <w:rsid w:val="00DF25B6"/>
    <w:rsid w:val="00DF561A"/>
    <w:rsid w:val="00E006C4"/>
    <w:rsid w:val="00E12D63"/>
    <w:rsid w:val="00E26C4C"/>
    <w:rsid w:val="00E40FCE"/>
    <w:rsid w:val="00E7267A"/>
    <w:rsid w:val="00E73BA4"/>
    <w:rsid w:val="00EC597B"/>
    <w:rsid w:val="00ED5E3D"/>
    <w:rsid w:val="00ED719C"/>
    <w:rsid w:val="00EF2983"/>
    <w:rsid w:val="00F66332"/>
    <w:rsid w:val="00F95E7D"/>
    <w:rsid w:val="00FA0BFD"/>
    <w:rsid w:val="00FA10C5"/>
    <w:rsid w:val="00FC4F77"/>
    <w:rsid w:val="00FD1136"/>
    <w:rsid w:val="00FE3C18"/>
    <w:rsid w:val="00FE6F14"/>
    <w:rsid w:val="00FF3A2D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#eaeaea" stroke="f">
      <v:fill color="#eaeaea"/>
      <v:stroke on="f"/>
    </o:shapedefaults>
    <o:shapelayout v:ext="edit">
      <o:idmap v:ext="edit" data="1"/>
    </o:shapelayout>
  </w:shapeDefaults>
  <w:decimalSymbol w:val="."/>
  <w:listSeparator w:val=","/>
  <w14:docId w14:val="07806F75"/>
  <w15:chartTrackingRefBased/>
  <w15:docId w15:val="{60986D03-CAE7-4949-B37F-81A04B4B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12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BD2E6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">
    <w:name w:val="Style Bulleted"/>
    <w:basedOn w:val="NoList"/>
    <w:rsid w:val="00BD2E6C"/>
    <w:pPr>
      <w:numPr>
        <w:numId w:val="1"/>
      </w:numPr>
    </w:pPr>
  </w:style>
  <w:style w:type="paragraph" w:customStyle="1" w:styleId="Newslettersubhead">
    <w:name w:val="Newsletter subhead"/>
    <w:basedOn w:val="Normal"/>
    <w:next w:val="Normal"/>
    <w:rsid w:val="003D1804"/>
    <w:pPr>
      <w:spacing w:before="40" w:after="40"/>
    </w:pPr>
    <w:rPr>
      <w:b/>
    </w:rPr>
  </w:style>
  <w:style w:type="paragraph" w:styleId="Header">
    <w:name w:val="header"/>
    <w:basedOn w:val="Normal"/>
    <w:rsid w:val="005057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57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505712"/>
  </w:style>
  <w:style w:type="paragraph" w:styleId="BalloonText">
    <w:name w:val="Balloon Text"/>
    <w:basedOn w:val="Normal"/>
    <w:semiHidden/>
    <w:rsid w:val="00B76FDD"/>
    <w:rPr>
      <w:rFonts w:ascii="Tahoma" w:hAnsi="Tahoma" w:cs="Tahoma"/>
      <w:sz w:val="16"/>
      <w:szCs w:val="16"/>
    </w:rPr>
  </w:style>
  <w:style w:type="paragraph" w:customStyle="1" w:styleId="NewsletterHeader">
    <w:name w:val="Newsletter Header"/>
    <w:basedOn w:val="Normal"/>
    <w:rsid w:val="00572D79"/>
    <w:pPr>
      <w:spacing w:after="120"/>
    </w:pPr>
    <w:rPr>
      <w:b/>
      <w:color w:val="F58025"/>
      <w:sz w:val="120"/>
      <w:szCs w:val="120"/>
    </w:rPr>
  </w:style>
  <w:style w:type="paragraph" w:customStyle="1" w:styleId="Mainstoryheadline">
    <w:name w:val="Main story headline"/>
    <w:basedOn w:val="Normal"/>
    <w:rsid w:val="00572D79"/>
    <w:rPr>
      <w:b/>
      <w:color w:val="004990"/>
      <w:sz w:val="96"/>
      <w:szCs w:val="96"/>
    </w:rPr>
  </w:style>
  <w:style w:type="paragraph" w:customStyle="1" w:styleId="Mainstoryheadline-line2">
    <w:name w:val="Main story headline - line2"/>
    <w:basedOn w:val="Normal"/>
    <w:link w:val="Mainstoryheadline-line2Char"/>
    <w:rsid w:val="00572D79"/>
    <w:rPr>
      <w:color w:val="004990"/>
      <w:sz w:val="96"/>
      <w:szCs w:val="96"/>
    </w:rPr>
  </w:style>
  <w:style w:type="paragraph" w:customStyle="1" w:styleId="Deparmentname">
    <w:name w:val="Deparment name"/>
    <w:basedOn w:val="Normal"/>
    <w:rsid w:val="00572D79"/>
    <w:pPr>
      <w:tabs>
        <w:tab w:val="right" w:pos="10260"/>
      </w:tabs>
    </w:pPr>
    <w:rPr>
      <w:b/>
      <w:color w:val="004990"/>
      <w:sz w:val="34"/>
      <w:szCs w:val="34"/>
    </w:rPr>
  </w:style>
  <w:style w:type="character" w:customStyle="1" w:styleId="Mainstoryheadline-line2Char">
    <w:name w:val="Main story headline - line2 Char"/>
    <w:link w:val="Mainstoryheadline-line2"/>
    <w:rsid w:val="00C941F8"/>
    <w:rPr>
      <w:rFonts w:ascii="Arial" w:hAnsi="Arial"/>
      <w:color w:val="004990"/>
      <w:sz w:val="96"/>
      <w:szCs w:val="96"/>
      <w:lang w:val="en-GB" w:eastAsia="en-GB" w:bidi="ar-SA"/>
    </w:rPr>
  </w:style>
  <w:style w:type="paragraph" w:customStyle="1" w:styleId="Substoryheadline">
    <w:name w:val="Sub story headline"/>
    <w:basedOn w:val="Mainstoryheadline-line2"/>
    <w:rsid w:val="00C941F8"/>
    <w:rPr>
      <w:sz w:val="44"/>
      <w:szCs w:val="44"/>
    </w:rPr>
  </w:style>
  <w:style w:type="paragraph" w:customStyle="1" w:styleId="Dateandisse-indented">
    <w:name w:val="Date and isse - indented"/>
    <w:basedOn w:val="Normal"/>
    <w:rsid w:val="00484967"/>
    <w:pPr>
      <w:tabs>
        <w:tab w:val="left" w:pos="1800"/>
        <w:tab w:val="right" w:pos="9900"/>
      </w:tabs>
      <w:spacing w:after="240"/>
      <w:ind w:right="352" w:firstLine="357"/>
    </w:pPr>
    <w:rPr>
      <w:color w:val="FFFFFF"/>
    </w:rPr>
  </w:style>
  <w:style w:type="character" w:styleId="Hyperlink">
    <w:name w:val="Hyperlink"/>
    <w:rsid w:val="008C1464"/>
    <w:rPr>
      <w:color w:val="0000FF"/>
      <w:u w:val="single"/>
    </w:rPr>
  </w:style>
  <w:style w:type="character" w:styleId="FollowedHyperlink">
    <w:name w:val="FollowedHyperlink"/>
    <w:rsid w:val="00B5449F"/>
    <w:rPr>
      <w:color w:val="954F72"/>
      <w:u w:val="single"/>
    </w:rPr>
  </w:style>
  <w:style w:type="character" w:styleId="CommentReference">
    <w:name w:val="annotation reference"/>
    <w:rsid w:val="006439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9D1"/>
    <w:rPr>
      <w:sz w:val="20"/>
      <w:szCs w:val="20"/>
    </w:rPr>
  </w:style>
  <w:style w:type="character" w:customStyle="1" w:styleId="CommentTextChar">
    <w:name w:val="Comment Text Char"/>
    <w:link w:val="CommentText"/>
    <w:rsid w:val="006439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439D1"/>
    <w:rPr>
      <w:b/>
      <w:bCs/>
    </w:rPr>
  </w:style>
  <w:style w:type="character" w:customStyle="1" w:styleId="CommentSubjectChar">
    <w:name w:val="Comment Subject Char"/>
    <w:link w:val="CommentSubject"/>
    <w:rsid w:val="006439D1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15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0612"/>
    <w:pPr>
      <w:spacing w:after="300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9252A8"/>
    <w:rPr>
      <w:rFonts w:ascii="Arial" w:hAnsi="Arial"/>
      <w:sz w:val="22"/>
      <w:szCs w:val="24"/>
    </w:rPr>
  </w:style>
  <w:style w:type="paragraph" w:customStyle="1" w:styleId="Body">
    <w:name w:val="Body"/>
    <w:uiPriority w:val="99"/>
    <w:rsid w:val="00FF41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Helvetica"/>
      <w:color w:val="000000"/>
      <w:sz w:val="22"/>
      <w:szCs w:val="22"/>
    </w:rPr>
  </w:style>
  <w:style w:type="character" w:customStyle="1" w:styleId="FooterChar">
    <w:name w:val="Footer Char"/>
    <w:link w:val="Footer"/>
    <w:uiPriority w:val="99"/>
    <w:rsid w:val="007A4818"/>
    <w:rPr>
      <w:rFonts w:ascii="Arial" w:hAnsi="Arial"/>
      <w:sz w:val="22"/>
      <w:szCs w:val="24"/>
    </w:rPr>
  </w:style>
  <w:style w:type="character" w:styleId="PlaceholderText">
    <w:name w:val="Placeholder Text"/>
    <w:uiPriority w:val="99"/>
    <w:semiHidden/>
    <w:rsid w:val="00C01808"/>
    <w:rPr>
      <w:color w:val="808080"/>
    </w:rPr>
  </w:style>
  <w:style w:type="paragraph" w:styleId="ListParagraph">
    <w:name w:val="List Paragraph"/>
    <w:basedOn w:val="Normal"/>
    <w:uiPriority w:val="34"/>
    <w:qFormat/>
    <w:rsid w:val="00AF2303"/>
    <w:pPr>
      <w:ind w:left="720"/>
      <w:contextualSpacing/>
    </w:pPr>
  </w:style>
  <w:style w:type="paragraph" w:customStyle="1" w:styleId="Default">
    <w:name w:val="Default"/>
    <w:uiPriority w:val="99"/>
    <w:rsid w:val="00315F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D4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48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75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can.org.uk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can.org.uk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adNetDoc" ma:contentTypeID="0x010100BF21E284049E0B4E9C13BCEFF60FE20600DE18FF97D118AE449442E56ACEED7777" ma:contentTypeVersion="3" ma:contentTypeDescription="" ma:contentTypeScope="" ma:versionID="14958f5b3373c4c36b5e0d92013e2e68">
  <xsd:schema xmlns:xsd="http://www.w3.org/2001/XMLSchema" xmlns:xs="http://www.w3.org/2001/XMLSchema" xmlns:p="http://schemas.microsoft.com/office/2006/metadata/properties" xmlns:ns2="d0b4d4e3-5e6b-4cd2-b4f1-c2cfb07e87bd" xmlns:ns3="14b87bfc-89ff-4911-b9dc-f8526a62674a" targetNamespace="http://schemas.microsoft.com/office/2006/metadata/properties" ma:root="true" ma:fieldsID="844c76de397200a8de43eead85be39de" ns2:_="" ns3:_="">
    <xsd:import namespace="d0b4d4e3-5e6b-4cd2-b4f1-c2cfb07e87bd"/>
    <xsd:import namespace="14b87bfc-89ff-4911-b9dc-f8526a62674a"/>
    <xsd:element name="properties">
      <xsd:complexType>
        <xsd:sequence>
          <xsd:element name="documentManagement">
            <xsd:complexType>
              <xsd:all>
                <xsd:element ref="ns2:jca61ed375004124b06360e7e528af3a" minOccurs="0"/>
                <xsd:element ref="ns2:TaxCatchAll" minOccurs="0"/>
                <xsd:element ref="ns2:TaxCatchAllLabel" minOccurs="0"/>
                <xsd:element ref="ns3:a89ec2e881924649b56d136f417343c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4d4e3-5e6b-4cd2-b4f1-c2cfb07e87bd" elementFormDefault="qualified">
    <xsd:import namespace="http://schemas.microsoft.com/office/2006/documentManagement/types"/>
    <xsd:import namespace="http://schemas.microsoft.com/office/infopath/2007/PartnerControls"/>
    <xsd:element name="jca61ed375004124b06360e7e528af3a" ma:index="8" nillable="true" ma:taxonomy="true" ma:internalName="jca61ed375004124b06360e7e528af3a" ma:taxonomyFieldName="BNDepartment" ma:displayName="Department" ma:indexed="true" ma:default="" ma:fieldId="{3ca61ed3-7500-4124-b063-60e7e528af3a}" ma:sspId="95ffa1d7-3c64-41f3-9f50-fdcccd4bda03" ma:termSetId="919cebc2-c505-4154-acbe-cc463165d79b" ma:anchorId="4609a5d4-f984-44ea-b8c2-60fe2b2707c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ed2c0d6-85fc-4350-9a3a-822f58bfba56}" ma:internalName="TaxCatchAll" ma:showField="CatchAllData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d2c0d6-85fc-4350-9a3a-822f58bfba56}" ma:internalName="TaxCatchAllLabel" ma:readOnly="true" ma:showField="CatchAllDataLabel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87bfc-89ff-4911-b9dc-f8526a62674a" elementFormDefault="qualified">
    <xsd:import namespace="http://schemas.microsoft.com/office/2006/documentManagement/types"/>
    <xsd:import namespace="http://schemas.microsoft.com/office/infopath/2007/PartnerControls"/>
    <xsd:element name="a89ec2e881924649b56d136f417343cd" ma:index="12" nillable="true" ma:taxonomy="true" ma:internalName="a89ec2e881924649b56d136f417343cd" ma:taxonomyFieldName="RollupTag" ma:displayName="RollupTag" ma:default="" ma:fieldId="{a89ec2e8-8192-4649-b56d-136f417343cd}" ma:taxonomyMulti="true" ma:sspId="95ffa1d7-3c64-41f3-9f50-fdcccd4bda03" ma:termSetId="919cebc2-c505-4154-acbe-cc463165d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4D42-E864-4055-89F7-92729077B7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1482F5-B004-4FF0-A10C-0F9FF69AD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4d4e3-5e6b-4cd2-b4f1-c2cfb07e87bd"/>
    <ds:schemaRef ds:uri="14b87bfc-89ff-4911-b9dc-f8526a62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E24D0-46F4-4C3A-97F5-4755ACB2E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DA9DDC-3724-4ECE-9384-C9378BE6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James</dc:creator>
  <cp:keywords/>
  <cp:lastModifiedBy>Sarah Gates</cp:lastModifiedBy>
  <cp:revision>12</cp:revision>
  <cp:lastPrinted>2022-05-06T09:32:00Z</cp:lastPrinted>
  <dcterms:created xsi:type="dcterms:W3CDTF">2022-05-28T11:53:00Z</dcterms:created>
  <dcterms:modified xsi:type="dcterms:W3CDTF">2022-07-12T19:04:00Z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a61ed375004124b06360e7e528af3a">
    <vt:lpwstr/>
  </property>
  <property fmtid="{D5CDD505-2E9C-101B-9397-08002B2CF9AE}" pid="3" name="a89ec2e881924649b56d136f417343cd">
    <vt:lpwstr>Departmental communications|3401b1ec-302c-43d1-9748-d1d880a34313</vt:lpwstr>
  </property>
  <property fmtid="{D5CDD505-2E9C-101B-9397-08002B2CF9AE}" pid="4" name="RollupTag">
    <vt:lpwstr>379;#Departmental communications|3401b1ec-302c-43d1-9748-d1d880a34313</vt:lpwstr>
  </property>
  <property fmtid="{D5CDD505-2E9C-101B-9397-08002B2CF9AE}" pid="5" name="BNDepartment">
    <vt:lpwstr/>
  </property>
  <property fmtid="{D5CDD505-2E9C-101B-9397-08002B2CF9AE}" pid="6" name="TaxCatchAll">
    <vt:lpwstr>379;#Departmental communications|3401b1ec-302c-43d1-9748-d1d880a34313</vt:lpwstr>
  </property>
</Properties>
</file>