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F5" w:rsidRPr="00E65F2B" w:rsidRDefault="002F44F5" w:rsidP="002F44F5">
      <w:pPr>
        <w:jc w:val="center"/>
      </w:pPr>
    </w:p>
    <w:p w:rsidR="002F44F5" w:rsidRPr="00E65F2B" w:rsidRDefault="002F44F5" w:rsidP="002F44F5">
      <w:pPr>
        <w:jc w:val="center"/>
        <w:rPr>
          <w:b/>
        </w:rPr>
      </w:pPr>
      <w:proofErr w:type="spellStart"/>
      <w:r w:rsidRPr="00E65F2B">
        <w:rPr>
          <w:b/>
        </w:rPr>
        <w:t>Headteacher</w:t>
      </w:r>
      <w:proofErr w:type="spellEnd"/>
      <w:r w:rsidRPr="00E65F2B">
        <w:rPr>
          <w:b/>
        </w:rPr>
        <w:t xml:space="preserve"> Briefing</w:t>
      </w:r>
    </w:p>
    <w:p w:rsidR="004E545E" w:rsidRPr="00E65F2B" w:rsidRDefault="00501B47" w:rsidP="004E545E">
      <w:pPr>
        <w:jc w:val="center"/>
        <w:rPr>
          <w:b/>
        </w:rPr>
      </w:pPr>
      <w:r w:rsidRPr="00E65F2B">
        <w:rPr>
          <w:b/>
        </w:rPr>
        <w:t>Tuesday 15 January</w:t>
      </w:r>
      <w:r w:rsidR="00943894" w:rsidRPr="00E65F2B">
        <w:rPr>
          <w:b/>
        </w:rPr>
        <w:t xml:space="preserve"> </w:t>
      </w:r>
      <w:r w:rsidRPr="00E65F2B">
        <w:rPr>
          <w:b/>
        </w:rPr>
        <w:t>2019</w:t>
      </w:r>
    </w:p>
    <w:p w:rsidR="00943894" w:rsidRPr="00E65F2B" w:rsidRDefault="00943894" w:rsidP="00943894">
      <w:pPr>
        <w:jc w:val="center"/>
        <w:rPr>
          <w:b/>
        </w:rPr>
      </w:pPr>
      <w:r w:rsidRPr="00E65F2B">
        <w:rPr>
          <w:b/>
        </w:rPr>
        <w:t xml:space="preserve">8.30am – 10.30am </w:t>
      </w:r>
    </w:p>
    <w:p w:rsidR="004E545E" w:rsidRPr="00E65F2B" w:rsidRDefault="009334AF" w:rsidP="004E545E">
      <w:pPr>
        <w:jc w:val="center"/>
        <w:rPr>
          <w:b/>
        </w:rPr>
      </w:pPr>
      <w:proofErr w:type="spellStart"/>
      <w:r w:rsidRPr="00E65F2B">
        <w:rPr>
          <w:b/>
        </w:rPr>
        <w:t>Mercure</w:t>
      </w:r>
      <w:proofErr w:type="spellEnd"/>
      <w:r w:rsidRPr="00E65F2B">
        <w:rPr>
          <w:b/>
        </w:rPr>
        <w:t xml:space="preserve"> Hotel, Bingley</w:t>
      </w:r>
    </w:p>
    <w:p w:rsidR="002F44F5" w:rsidRPr="00E65F2B" w:rsidRDefault="002F44F5" w:rsidP="002F44F5">
      <w:pPr>
        <w:jc w:val="center"/>
        <w:rPr>
          <w:b/>
        </w:rPr>
      </w:pPr>
    </w:p>
    <w:p w:rsidR="002F44F5" w:rsidRPr="00E65F2B" w:rsidRDefault="002F44F5" w:rsidP="002F44F5">
      <w:pPr>
        <w:jc w:val="center"/>
        <w:rPr>
          <w:b/>
        </w:rPr>
      </w:pPr>
      <w:r w:rsidRPr="00E65F2B">
        <w:rPr>
          <w:b/>
        </w:rPr>
        <w:t>A G E N D A</w:t>
      </w:r>
    </w:p>
    <w:p w:rsidR="00ED7EBD" w:rsidRPr="00E65F2B" w:rsidRDefault="00ED7EBD" w:rsidP="002F44F5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062"/>
      </w:tblGrid>
      <w:tr w:rsidR="00313DD3" w:rsidRPr="00E65F2B" w:rsidTr="00E65F2B">
        <w:trPr>
          <w:trHeight w:val="838"/>
        </w:trPr>
        <w:tc>
          <w:tcPr>
            <w:tcW w:w="1685" w:type="dxa"/>
            <w:shd w:val="clear" w:color="auto" w:fill="auto"/>
            <w:vAlign w:val="center"/>
          </w:tcPr>
          <w:p w:rsidR="00313DD3" w:rsidRPr="00E65F2B" w:rsidRDefault="00313DD3" w:rsidP="003C16EB">
            <w:pPr>
              <w:tabs>
                <w:tab w:val="left" w:pos="997"/>
              </w:tabs>
            </w:pPr>
            <w:r w:rsidRPr="00E65F2B">
              <w:t>08:00</w:t>
            </w:r>
            <w:r w:rsidR="00943894" w:rsidRPr="00E65F2B">
              <w:t xml:space="preserve"> – 08.30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313DD3" w:rsidRPr="00E65F2B" w:rsidRDefault="00313DD3" w:rsidP="003C16EB">
            <w:r w:rsidRPr="00E65F2B">
              <w:rPr>
                <w:b/>
              </w:rPr>
              <w:t>Registration and Refreshments</w:t>
            </w:r>
            <w:r w:rsidR="0030107F">
              <w:t xml:space="preserve"> </w:t>
            </w:r>
          </w:p>
        </w:tc>
      </w:tr>
      <w:tr w:rsidR="00313DD3" w:rsidRPr="00E65F2B" w:rsidTr="00975195">
        <w:trPr>
          <w:trHeight w:val="1020"/>
        </w:trPr>
        <w:tc>
          <w:tcPr>
            <w:tcW w:w="1685" w:type="dxa"/>
            <w:shd w:val="clear" w:color="auto" w:fill="auto"/>
            <w:vAlign w:val="center"/>
          </w:tcPr>
          <w:p w:rsidR="00313DD3" w:rsidRPr="00E65F2B" w:rsidRDefault="00943894" w:rsidP="003C16EB">
            <w:pPr>
              <w:tabs>
                <w:tab w:val="left" w:pos="997"/>
              </w:tabs>
            </w:pPr>
            <w:r w:rsidRPr="00E65F2B">
              <w:t>08:30 – 08:5</w:t>
            </w:r>
            <w:r w:rsidR="00975195" w:rsidRPr="00E65F2B">
              <w:t>0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E84BF5" w:rsidRPr="00E65F2B" w:rsidRDefault="00E84BF5" w:rsidP="003C16EB">
            <w:pPr>
              <w:spacing w:line="360" w:lineRule="auto"/>
              <w:rPr>
                <w:b/>
              </w:rPr>
            </w:pPr>
            <w:r w:rsidRPr="00E65F2B">
              <w:rPr>
                <w:b/>
              </w:rPr>
              <w:t>Welcome</w:t>
            </w:r>
            <w:r w:rsidR="00EB6B7E" w:rsidRPr="00E65F2B">
              <w:rPr>
                <w:b/>
              </w:rPr>
              <w:t xml:space="preserve"> and the new Education and Learning Structure </w:t>
            </w:r>
          </w:p>
          <w:p w:rsidR="00981BF8" w:rsidRPr="00E65F2B" w:rsidRDefault="00943894" w:rsidP="00E84BF5">
            <w:pPr>
              <w:spacing w:line="360" w:lineRule="auto"/>
              <w:rPr>
                <w:i/>
              </w:rPr>
            </w:pPr>
            <w:r w:rsidRPr="00E65F2B">
              <w:rPr>
                <w:i/>
              </w:rPr>
              <w:t>Gladys Rhodes White</w:t>
            </w:r>
            <w:r w:rsidR="00E84BF5" w:rsidRPr="00E65F2B">
              <w:rPr>
                <w:i/>
              </w:rPr>
              <w:t xml:space="preserve">, </w:t>
            </w:r>
            <w:r w:rsidRPr="00E65F2B">
              <w:rPr>
                <w:i/>
              </w:rPr>
              <w:t xml:space="preserve">Interim </w:t>
            </w:r>
            <w:r w:rsidR="00A50BE8" w:rsidRPr="00E65F2B">
              <w:rPr>
                <w:i/>
              </w:rPr>
              <w:t xml:space="preserve">Strategic </w:t>
            </w:r>
            <w:r w:rsidR="00E84BF5" w:rsidRPr="00E65F2B">
              <w:rPr>
                <w:i/>
              </w:rPr>
              <w:t>Director of Children’s Services</w:t>
            </w:r>
          </w:p>
          <w:p w:rsidR="00981BF8" w:rsidRPr="00E65F2B" w:rsidRDefault="00981BF8" w:rsidP="00E84BF5">
            <w:pPr>
              <w:spacing w:line="360" w:lineRule="auto"/>
              <w:rPr>
                <w:i/>
              </w:rPr>
            </w:pPr>
            <w:r w:rsidRPr="00E65F2B">
              <w:rPr>
                <w:i/>
              </w:rPr>
              <w:t>Marium Haque, Deputy Director – Education and Learning</w:t>
            </w:r>
          </w:p>
        </w:tc>
      </w:tr>
      <w:tr w:rsidR="003F07E2" w:rsidRPr="00E65F2B" w:rsidTr="00975195">
        <w:trPr>
          <w:trHeight w:val="1020"/>
        </w:trPr>
        <w:tc>
          <w:tcPr>
            <w:tcW w:w="1685" w:type="dxa"/>
            <w:shd w:val="clear" w:color="auto" w:fill="auto"/>
            <w:vAlign w:val="center"/>
          </w:tcPr>
          <w:p w:rsidR="003F07E2" w:rsidRPr="00E65F2B" w:rsidRDefault="00DA62AE" w:rsidP="00975195">
            <w:r w:rsidRPr="00E65F2B">
              <w:t>08.50 – 09.10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75195" w:rsidRPr="00E65F2B" w:rsidRDefault="00943894" w:rsidP="003C16EB">
            <w:pPr>
              <w:spacing w:line="288" w:lineRule="auto"/>
              <w:rPr>
                <w:b/>
              </w:rPr>
            </w:pPr>
            <w:r w:rsidRPr="00E65F2B">
              <w:rPr>
                <w:b/>
              </w:rPr>
              <w:t>ILACS Inspection</w:t>
            </w:r>
          </w:p>
          <w:p w:rsidR="004E1FA8" w:rsidRPr="00E65F2B" w:rsidRDefault="00943894" w:rsidP="003C16EB">
            <w:pPr>
              <w:spacing w:line="288" w:lineRule="auto"/>
              <w:rPr>
                <w:i/>
              </w:rPr>
            </w:pPr>
            <w:r w:rsidRPr="00E65F2B">
              <w:rPr>
                <w:i/>
              </w:rPr>
              <w:t>Jim Hopkinson, Deputy Director – Children’s Social Care</w:t>
            </w:r>
          </w:p>
          <w:p w:rsidR="0049365D" w:rsidRPr="00E65F2B" w:rsidRDefault="0049365D" w:rsidP="003C16EB">
            <w:pPr>
              <w:spacing w:line="288" w:lineRule="auto"/>
              <w:rPr>
                <w:i/>
              </w:rPr>
            </w:pPr>
            <w:r w:rsidRPr="00E65F2B">
              <w:rPr>
                <w:i/>
              </w:rPr>
              <w:t xml:space="preserve">Jenny </w:t>
            </w:r>
            <w:proofErr w:type="spellStart"/>
            <w:r w:rsidRPr="00E65F2B">
              <w:rPr>
                <w:i/>
              </w:rPr>
              <w:t>Cryer</w:t>
            </w:r>
            <w:proofErr w:type="spellEnd"/>
            <w:r w:rsidRPr="00E65F2B">
              <w:rPr>
                <w:i/>
              </w:rPr>
              <w:t xml:space="preserve">, Assistant Director – Performance, Commissioning and </w:t>
            </w:r>
            <w:proofErr w:type="spellStart"/>
            <w:r w:rsidRPr="00E65F2B">
              <w:rPr>
                <w:i/>
              </w:rPr>
              <w:t>P’Ships</w:t>
            </w:r>
            <w:proofErr w:type="spellEnd"/>
          </w:p>
        </w:tc>
      </w:tr>
      <w:tr w:rsidR="003F07E2" w:rsidRPr="00E65F2B" w:rsidTr="00975195">
        <w:trPr>
          <w:trHeight w:val="1020"/>
        </w:trPr>
        <w:tc>
          <w:tcPr>
            <w:tcW w:w="1685" w:type="dxa"/>
            <w:shd w:val="clear" w:color="auto" w:fill="auto"/>
            <w:vAlign w:val="center"/>
          </w:tcPr>
          <w:p w:rsidR="003F07E2" w:rsidRPr="00E65F2B" w:rsidRDefault="00DA62AE" w:rsidP="00E84BF5">
            <w:r w:rsidRPr="00E65F2B">
              <w:t>09.10 – 09.30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81BF8" w:rsidRPr="00E65F2B" w:rsidRDefault="00981BF8" w:rsidP="00943894">
            <w:pPr>
              <w:rPr>
                <w:rFonts w:eastAsia="Times New Roman" w:cs="Arial"/>
                <w:b/>
              </w:rPr>
            </w:pPr>
            <w:r w:rsidRPr="00E65F2B">
              <w:rPr>
                <w:rFonts w:eastAsia="Times New Roman" w:cs="Arial"/>
                <w:b/>
              </w:rPr>
              <w:t>SEND Inspection Readiness - What Schools Need to Know</w:t>
            </w:r>
          </w:p>
          <w:p w:rsidR="00313DB5" w:rsidRPr="00E65F2B" w:rsidRDefault="00975195" w:rsidP="00943894">
            <w:pPr>
              <w:rPr>
                <w:i/>
              </w:rPr>
            </w:pPr>
            <w:r w:rsidRPr="00E65F2B">
              <w:rPr>
                <w:i/>
              </w:rPr>
              <w:t xml:space="preserve">Lynn Donohue, </w:t>
            </w:r>
            <w:r w:rsidR="00943894" w:rsidRPr="00E65F2B">
              <w:rPr>
                <w:i/>
              </w:rPr>
              <w:t>Strategic Manager – SEND and Behaviour</w:t>
            </w:r>
          </w:p>
          <w:p w:rsidR="00943894" w:rsidRPr="00E65F2B" w:rsidRDefault="00943894" w:rsidP="00943894">
            <w:pPr>
              <w:rPr>
                <w:i/>
              </w:rPr>
            </w:pPr>
            <w:r w:rsidRPr="00E65F2B">
              <w:rPr>
                <w:i/>
              </w:rPr>
              <w:t>Andy Crabtree, Interim SEND and Compliance Manager</w:t>
            </w:r>
          </w:p>
        </w:tc>
      </w:tr>
      <w:tr w:rsidR="003F07E2" w:rsidRPr="00E65F2B" w:rsidTr="00975195">
        <w:trPr>
          <w:trHeight w:val="1020"/>
        </w:trPr>
        <w:tc>
          <w:tcPr>
            <w:tcW w:w="1685" w:type="dxa"/>
            <w:shd w:val="clear" w:color="auto" w:fill="auto"/>
            <w:vAlign w:val="center"/>
          </w:tcPr>
          <w:p w:rsidR="003F07E2" w:rsidRPr="00E65F2B" w:rsidRDefault="00501B47" w:rsidP="00E84BF5">
            <w:r w:rsidRPr="00E65F2B">
              <w:t>09.30 – 09.45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6345CA" w:rsidRPr="00E65F2B" w:rsidRDefault="006345CA" w:rsidP="006345CA">
            <w:pPr>
              <w:spacing w:before="120" w:line="360" w:lineRule="auto"/>
              <w:rPr>
                <w:b/>
              </w:rPr>
            </w:pPr>
            <w:r w:rsidRPr="00E65F2B">
              <w:rPr>
                <w:b/>
              </w:rPr>
              <w:t xml:space="preserve">Headline Data/Results </w:t>
            </w:r>
          </w:p>
          <w:p w:rsidR="006345CA" w:rsidRPr="00E65F2B" w:rsidRDefault="006345CA" w:rsidP="006345CA">
            <w:pPr>
              <w:spacing w:line="240" w:lineRule="auto"/>
              <w:rPr>
                <w:i/>
              </w:rPr>
            </w:pPr>
            <w:r w:rsidRPr="00E65F2B">
              <w:rPr>
                <w:i/>
              </w:rPr>
              <w:t xml:space="preserve">Yasmin Umarji, Strategic Manager – Education and Learning and </w:t>
            </w:r>
          </w:p>
          <w:p w:rsidR="00943894" w:rsidRPr="00E65F2B" w:rsidRDefault="006345CA" w:rsidP="00DA62AE">
            <w:pPr>
              <w:spacing w:line="240" w:lineRule="auto"/>
              <w:rPr>
                <w:i/>
              </w:rPr>
            </w:pPr>
            <w:r w:rsidRPr="00E65F2B">
              <w:rPr>
                <w:i/>
              </w:rPr>
              <w:t xml:space="preserve">Adrian </w:t>
            </w:r>
            <w:proofErr w:type="spellStart"/>
            <w:r w:rsidRPr="00E65F2B">
              <w:rPr>
                <w:i/>
              </w:rPr>
              <w:t>Kneeshaw</w:t>
            </w:r>
            <w:proofErr w:type="spellEnd"/>
            <w:r w:rsidRPr="00E65F2B">
              <w:rPr>
                <w:i/>
              </w:rPr>
              <w:t>, LA Secondary Lead</w:t>
            </w:r>
          </w:p>
        </w:tc>
      </w:tr>
      <w:tr w:rsidR="006345CA" w:rsidRPr="00E65F2B" w:rsidTr="00975195">
        <w:trPr>
          <w:trHeight w:val="1020"/>
        </w:trPr>
        <w:tc>
          <w:tcPr>
            <w:tcW w:w="1685" w:type="dxa"/>
            <w:shd w:val="clear" w:color="auto" w:fill="auto"/>
            <w:vAlign w:val="center"/>
          </w:tcPr>
          <w:p w:rsidR="006345CA" w:rsidRDefault="006345CA" w:rsidP="006345CA"/>
          <w:p w:rsidR="006345CA" w:rsidRPr="00E65F2B" w:rsidRDefault="006345CA" w:rsidP="006345CA">
            <w:r>
              <w:t>09.45 – 10.00</w:t>
            </w:r>
          </w:p>
          <w:p w:rsidR="006345CA" w:rsidRPr="00E65F2B" w:rsidRDefault="006345CA" w:rsidP="00145CE1"/>
        </w:tc>
        <w:tc>
          <w:tcPr>
            <w:tcW w:w="8062" w:type="dxa"/>
            <w:shd w:val="clear" w:color="auto" w:fill="auto"/>
            <w:vAlign w:val="center"/>
          </w:tcPr>
          <w:p w:rsidR="006345CA" w:rsidRPr="00E65F2B" w:rsidRDefault="006345CA" w:rsidP="006345CA">
            <w:pPr>
              <w:spacing w:before="240" w:after="240" w:line="360" w:lineRule="auto"/>
              <w:contextualSpacing/>
              <w:rPr>
                <w:b/>
              </w:rPr>
            </w:pPr>
            <w:r w:rsidRPr="00E65F2B">
              <w:rPr>
                <w:b/>
              </w:rPr>
              <w:t>Apprenticeships in Schools</w:t>
            </w:r>
          </w:p>
          <w:p w:rsidR="006345CA" w:rsidRDefault="006345CA" w:rsidP="006345CA">
            <w:pPr>
              <w:rPr>
                <w:i/>
              </w:rPr>
            </w:pPr>
            <w:r w:rsidRPr="00E65F2B">
              <w:rPr>
                <w:i/>
              </w:rPr>
              <w:t xml:space="preserve">Michael Thorp, Executive </w:t>
            </w:r>
            <w:proofErr w:type="spellStart"/>
            <w:r w:rsidRPr="00E65F2B">
              <w:rPr>
                <w:i/>
              </w:rPr>
              <w:t>Headteacher</w:t>
            </w:r>
            <w:proofErr w:type="spellEnd"/>
            <w:r w:rsidRPr="00E65F2B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Crossley</w:t>
            </w:r>
            <w:proofErr w:type="spellEnd"/>
            <w:r>
              <w:rPr>
                <w:i/>
              </w:rPr>
              <w:t xml:space="preserve"> Hall and Grove House</w:t>
            </w:r>
          </w:p>
          <w:p w:rsidR="006345CA" w:rsidRDefault="006345CA" w:rsidP="00B220C5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031ACD" w:rsidRPr="00E65F2B" w:rsidTr="00975195">
        <w:trPr>
          <w:trHeight w:val="1020"/>
        </w:trPr>
        <w:tc>
          <w:tcPr>
            <w:tcW w:w="1685" w:type="dxa"/>
            <w:shd w:val="clear" w:color="auto" w:fill="auto"/>
            <w:vAlign w:val="center"/>
          </w:tcPr>
          <w:p w:rsidR="00031ACD" w:rsidRPr="00E65F2B" w:rsidRDefault="00B220C5" w:rsidP="00145CE1">
            <w:r w:rsidRPr="00E65F2B">
              <w:t>10.00 – 10.15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031ACD" w:rsidRDefault="00620F6C" w:rsidP="00B220C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Opportunity Area update </w:t>
            </w:r>
          </w:p>
          <w:p w:rsidR="00620F6C" w:rsidRDefault="00620F6C" w:rsidP="00B220C5">
            <w:pPr>
              <w:pStyle w:val="NoSpacing"/>
              <w:rPr>
                <w:b/>
                <w:sz w:val="22"/>
                <w:szCs w:val="22"/>
              </w:rPr>
            </w:pPr>
          </w:p>
          <w:p w:rsidR="00620F6C" w:rsidRPr="00620F6C" w:rsidRDefault="00FB492D" w:rsidP="00B220C5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Damon Boxer or Kathryn Loftus, DFE officers </w:t>
            </w:r>
          </w:p>
        </w:tc>
      </w:tr>
      <w:tr w:rsidR="00DA62AE" w:rsidRPr="00E65F2B" w:rsidTr="00E65F2B">
        <w:trPr>
          <w:trHeight w:val="912"/>
        </w:trPr>
        <w:tc>
          <w:tcPr>
            <w:tcW w:w="1685" w:type="dxa"/>
            <w:shd w:val="clear" w:color="auto" w:fill="auto"/>
            <w:vAlign w:val="center"/>
          </w:tcPr>
          <w:p w:rsidR="00DA62AE" w:rsidRPr="00E65F2B" w:rsidRDefault="00B220C5" w:rsidP="00B220C5">
            <w:r w:rsidRPr="00E65F2B">
              <w:t>10.15</w:t>
            </w:r>
            <w:r w:rsidR="0030107F">
              <w:t xml:space="preserve"> – 10.25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B220C5" w:rsidRPr="00E65F2B" w:rsidRDefault="00B220C5" w:rsidP="00B220C5">
            <w:pPr>
              <w:spacing w:before="120" w:line="360" w:lineRule="auto"/>
              <w:rPr>
                <w:b/>
              </w:rPr>
            </w:pPr>
            <w:r w:rsidRPr="00E65F2B">
              <w:rPr>
                <w:b/>
              </w:rPr>
              <w:t>Traded Services</w:t>
            </w:r>
          </w:p>
          <w:p w:rsidR="00DA62AE" w:rsidRPr="00E65F2B" w:rsidRDefault="00B220C5" w:rsidP="00B220C5">
            <w:pPr>
              <w:spacing w:line="360" w:lineRule="auto"/>
              <w:rPr>
                <w:b/>
              </w:rPr>
            </w:pPr>
            <w:r w:rsidRPr="00E65F2B">
              <w:rPr>
                <w:i/>
              </w:rPr>
              <w:t>Adele Baines, Commercial Services Manager</w:t>
            </w:r>
          </w:p>
        </w:tc>
      </w:tr>
      <w:tr w:rsidR="00B220C5" w:rsidRPr="00E65F2B" w:rsidTr="00E65F2B">
        <w:trPr>
          <w:trHeight w:val="684"/>
        </w:trPr>
        <w:tc>
          <w:tcPr>
            <w:tcW w:w="1685" w:type="dxa"/>
            <w:shd w:val="clear" w:color="auto" w:fill="auto"/>
            <w:vAlign w:val="center"/>
          </w:tcPr>
          <w:p w:rsidR="00B220C5" w:rsidRPr="00E65F2B" w:rsidRDefault="00B220C5" w:rsidP="00B220C5">
            <w:r w:rsidRPr="00E65F2B">
              <w:t>10.25-10.30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B220C5" w:rsidRPr="00E65F2B" w:rsidRDefault="00B220C5" w:rsidP="003C16EB">
            <w:pPr>
              <w:spacing w:line="360" w:lineRule="auto"/>
              <w:rPr>
                <w:b/>
              </w:rPr>
            </w:pPr>
            <w:r w:rsidRPr="00E65F2B">
              <w:rPr>
                <w:b/>
              </w:rPr>
              <w:t>AOB and Close</w:t>
            </w:r>
          </w:p>
        </w:tc>
      </w:tr>
    </w:tbl>
    <w:p w:rsidR="006345CA" w:rsidRDefault="006345CA" w:rsidP="006345CA">
      <w:pPr>
        <w:rPr>
          <w:i/>
        </w:rPr>
      </w:pPr>
      <w:bookmarkStart w:id="0" w:name="_GoBack"/>
      <w:bookmarkEnd w:id="0"/>
    </w:p>
    <w:sectPr w:rsidR="006345CA" w:rsidSect="009B69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5A" w:rsidRDefault="00E31D5A" w:rsidP="000A7750">
      <w:pPr>
        <w:spacing w:line="240" w:lineRule="auto"/>
      </w:pPr>
      <w:r>
        <w:separator/>
      </w:r>
    </w:p>
  </w:endnote>
  <w:endnote w:type="continuationSeparator" w:id="0">
    <w:p w:rsidR="00E31D5A" w:rsidRDefault="00E31D5A" w:rsidP="000A7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5A" w:rsidRDefault="00E31D5A" w:rsidP="000A7750">
      <w:pPr>
        <w:spacing w:line="240" w:lineRule="auto"/>
      </w:pPr>
      <w:r>
        <w:separator/>
      </w:r>
    </w:p>
  </w:footnote>
  <w:footnote w:type="continuationSeparator" w:id="0">
    <w:p w:rsidR="00E31D5A" w:rsidRDefault="00E31D5A" w:rsidP="000A7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1B" w:rsidRPr="00941B1B" w:rsidRDefault="00941B1B" w:rsidP="00941B1B">
    <w:pPr>
      <w:tabs>
        <w:tab w:val="center" w:pos="4153"/>
        <w:tab w:val="right" w:pos="8306"/>
      </w:tabs>
      <w:spacing w:line="240" w:lineRule="auto"/>
      <w:jc w:val="right"/>
      <w:rPr>
        <w:rFonts w:eastAsia="Times New Roman"/>
        <w:sz w:val="24"/>
        <w:szCs w:val="24"/>
      </w:rPr>
    </w:pPr>
    <w:r>
      <w:rPr>
        <w:rFonts w:eastAsia="Times New Roman"/>
        <w:noProof/>
        <w:sz w:val="24"/>
        <w:szCs w:val="24"/>
        <w:lang w:eastAsia="en-GB"/>
      </w:rPr>
      <w:drawing>
        <wp:inline distT="0" distB="0" distL="0" distR="0">
          <wp:extent cx="2160270" cy="602615"/>
          <wp:effectExtent l="0" t="0" r="0" b="6985"/>
          <wp:docPr id="2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B1B" w:rsidRPr="00941B1B" w:rsidRDefault="00941B1B" w:rsidP="00941B1B">
    <w:pPr>
      <w:tabs>
        <w:tab w:val="center" w:pos="4153"/>
        <w:tab w:val="right" w:pos="8306"/>
      </w:tabs>
      <w:spacing w:line="240" w:lineRule="auto"/>
      <w:jc w:val="right"/>
      <w:rPr>
        <w:rFonts w:eastAsia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749"/>
    <w:multiLevelType w:val="hybridMultilevel"/>
    <w:tmpl w:val="A4664BBC"/>
    <w:lvl w:ilvl="0" w:tplc="78548C2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731D2"/>
    <w:multiLevelType w:val="hybridMultilevel"/>
    <w:tmpl w:val="1DACC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74C0"/>
    <w:multiLevelType w:val="hybridMultilevel"/>
    <w:tmpl w:val="3522E932"/>
    <w:lvl w:ilvl="0" w:tplc="E6A2869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2766372"/>
    <w:multiLevelType w:val="hybridMultilevel"/>
    <w:tmpl w:val="CAA25CBE"/>
    <w:lvl w:ilvl="0" w:tplc="78548C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8"/>
    <w:rsid w:val="00031ACD"/>
    <w:rsid w:val="00032E35"/>
    <w:rsid w:val="00047D53"/>
    <w:rsid w:val="00070783"/>
    <w:rsid w:val="000A1638"/>
    <w:rsid w:val="000A7750"/>
    <w:rsid w:val="000F24F9"/>
    <w:rsid w:val="000F370A"/>
    <w:rsid w:val="001146AB"/>
    <w:rsid w:val="00145CE1"/>
    <w:rsid w:val="00194B10"/>
    <w:rsid w:val="001D2CB7"/>
    <w:rsid w:val="001E3799"/>
    <w:rsid w:val="00246108"/>
    <w:rsid w:val="002522D0"/>
    <w:rsid w:val="0025288F"/>
    <w:rsid w:val="00267388"/>
    <w:rsid w:val="00275FA3"/>
    <w:rsid w:val="002B7040"/>
    <w:rsid w:val="002D76E2"/>
    <w:rsid w:val="002F44F5"/>
    <w:rsid w:val="0030107F"/>
    <w:rsid w:val="00303F58"/>
    <w:rsid w:val="00312875"/>
    <w:rsid w:val="00313DB5"/>
    <w:rsid w:val="00313DD3"/>
    <w:rsid w:val="0032434C"/>
    <w:rsid w:val="0037008D"/>
    <w:rsid w:val="00397577"/>
    <w:rsid w:val="003D0075"/>
    <w:rsid w:val="003E6E2B"/>
    <w:rsid w:val="003F0202"/>
    <w:rsid w:val="003F07E2"/>
    <w:rsid w:val="003F557C"/>
    <w:rsid w:val="00421607"/>
    <w:rsid w:val="00447704"/>
    <w:rsid w:val="0045034B"/>
    <w:rsid w:val="00481433"/>
    <w:rsid w:val="0049365D"/>
    <w:rsid w:val="004B3F8E"/>
    <w:rsid w:val="004E1FA8"/>
    <w:rsid w:val="004E545E"/>
    <w:rsid w:val="00501B47"/>
    <w:rsid w:val="005B2E14"/>
    <w:rsid w:val="005E010E"/>
    <w:rsid w:val="005E5662"/>
    <w:rsid w:val="005F73D2"/>
    <w:rsid w:val="00620F6C"/>
    <w:rsid w:val="006345CA"/>
    <w:rsid w:val="006616F9"/>
    <w:rsid w:val="00693F7A"/>
    <w:rsid w:val="006B550B"/>
    <w:rsid w:val="006D35DF"/>
    <w:rsid w:val="006D7AEC"/>
    <w:rsid w:val="00700DE6"/>
    <w:rsid w:val="0075253F"/>
    <w:rsid w:val="007C49D0"/>
    <w:rsid w:val="007E51D2"/>
    <w:rsid w:val="0081584D"/>
    <w:rsid w:val="00857C56"/>
    <w:rsid w:val="0087012B"/>
    <w:rsid w:val="008C0853"/>
    <w:rsid w:val="008F652D"/>
    <w:rsid w:val="009334AF"/>
    <w:rsid w:val="00941B1B"/>
    <w:rsid w:val="00943894"/>
    <w:rsid w:val="00955127"/>
    <w:rsid w:val="00975195"/>
    <w:rsid w:val="00981BF8"/>
    <w:rsid w:val="00995ABF"/>
    <w:rsid w:val="009B6960"/>
    <w:rsid w:val="009B71F3"/>
    <w:rsid w:val="009F5D92"/>
    <w:rsid w:val="00A01E9A"/>
    <w:rsid w:val="00A10A06"/>
    <w:rsid w:val="00A24BC7"/>
    <w:rsid w:val="00A32301"/>
    <w:rsid w:val="00A3617C"/>
    <w:rsid w:val="00A41A8A"/>
    <w:rsid w:val="00A50BE8"/>
    <w:rsid w:val="00AD2308"/>
    <w:rsid w:val="00AF7463"/>
    <w:rsid w:val="00B220C5"/>
    <w:rsid w:val="00B327F8"/>
    <w:rsid w:val="00B60C67"/>
    <w:rsid w:val="00B76587"/>
    <w:rsid w:val="00B84A62"/>
    <w:rsid w:val="00BD66A1"/>
    <w:rsid w:val="00BF3D79"/>
    <w:rsid w:val="00C26ECA"/>
    <w:rsid w:val="00C86B6C"/>
    <w:rsid w:val="00CC0B1E"/>
    <w:rsid w:val="00D15327"/>
    <w:rsid w:val="00D221FE"/>
    <w:rsid w:val="00D47F96"/>
    <w:rsid w:val="00D5141B"/>
    <w:rsid w:val="00D90121"/>
    <w:rsid w:val="00DA62AE"/>
    <w:rsid w:val="00DB0E48"/>
    <w:rsid w:val="00DE443E"/>
    <w:rsid w:val="00E0196C"/>
    <w:rsid w:val="00E10D7B"/>
    <w:rsid w:val="00E31D5A"/>
    <w:rsid w:val="00E51A10"/>
    <w:rsid w:val="00E65F2B"/>
    <w:rsid w:val="00E84BF5"/>
    <w:rsid w:val="00EA321B"/>
    <w:rsid w:val="00EB6B7E"/>
    <w:rsid w:val="00ED0A3F"/>
    <w:rsid w:val="00ED7EBD"/>
    <w:rsid w:val="00EE6D6C"/>
    <w:rsid w:val="00F14793"/>
    <w:rsid w:val="00F36668"/>
    <w:rsid w:val="00F53801"/>
    <w:rsid w:val="00FB492D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75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link w:val="Header"/>
    <w:rsid w:val="000A775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0A7750"/>
    <w:pPr>
      <w:spacing w:line="240" w:lineRule="auto"/>
    </w:pPr>
    <w:rPr>
      <w:rFonts w:eastAsia="Times"/>
      <w:b/>
      <w:sz w:val="26"/>
      <w:szCs w:val="20"/>
    </w:rPr>
  </w:style>
  <w:style w:type="character" w:customStyle="1" w:styleId="BodyTextChar">
    <w:name w:val="Body Text Char"/>
    <w:link w:val="BodyText"/>
    <w:rsid w:val="000A7750"/>
    <w:rPr>
      <w:rFonts w:ascii="Arial" w:eastAsia="Times" w:hAnsi="Arial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0A7750"/>
    <w:pPr>
      <w:spacing w:line="240" w:lineRule="auto"/>
    </w:pPr>
    <w:rPr>
      <w:rFonts w:eastAsia="Times"/>
      <w:b/>
      <w:sz w:val="24"/>
      <w:szCs w:val="20"/>
    </w:rPr>
  </w:style>
  <w:style w:type="character" w:customStyle="1" w:styleId="BodyText2Char">
    <w:name w:val="Body Text 2 Char"/>
    <w:link w:val="BodyText2"/>
    <w:rsid w:val="000A7750"/>
    <w:rPr>
      <w:rFonts w:ascii="Arial" w:eastAsia="Times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A775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E2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BF5"/>
    <w:pPr>
      <w:spacing w:line="240" w:lineRule="auto"/>
    </w:pPr>
    <w:rPr>
      <w:rFonts w:eastAsiaTheme="minorHAnsi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75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link w:val="Header"/>
    <w:rsid w:val="000A775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0A7750"/>
    <w:pPr>
      <w:spacing w:line="240" w:lineRule="auto"/>
    </w:pPr>
    <w:rPr>
      <w:rFonts w:eastAsia="Times"/>
      <w:b/>
      <w:sz w:val="26"/>
      <w:szCs w:val="20"/>
    </w:rPr>
  </w:style>
  <w:style w:type="character" w:customStyle="1" w:styleId="BodyTextChar">
    <w:name w:val="Body Text Char"/>
    <w:link w:val="BodyText"/>
    <w:rsid w:val="000A7750"/>
    <w:rPr>
      <w:rFonts w:ascii="Arial" w:eastAsia="Times" w:hAnsi="Arial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0A7750"/>
    <w:pPr>
      <w:spacing w:line="240" w:lineRule="auto"/>
    </w:pPr>
    <w:rPr>
      <w:rFonts w:eastAsia="Times"/>
      <w:b/>
      <w:sz w:val="24"/>
      <w:szCs w:val="20"/>
    </w:rPr>
  </w:style>
  <w:style w:type="character" w:customStyle="1" w:styleId="BodyText2Char">
    <w:name w:val="Body Text 2 Char"/>
    <w:link w:val="BodyText2"/>
    <w:rsid w:val="000A7750"/>
    <w:rPr>
      <w:rFonts w:ascii="Arial" w:eastAsia="Times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A775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E2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BF5"/>
    <w:pPr>
      <w:spacing w:line="240" w:lineRule="auto"/>
    </w:pPr>
    <w:rPr>
      <w:rFonts w:eastAsiaTheme="minorHAnsi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1389-1176-41BE-92C5-B4774084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Rahila Nazir</dc:creator>
  <cp:lastModifiedBy>Ann Bannon</cp:lastModifiedBy>
  <cp:revision>3</cp:revision>
  <cp:lastPrinted>2018-12-17T18:13:00Z</cp:lastPrinted>
  <dcterms:created xsi:type="dcterms:W3CDTF">2019-01-03T11:07:00Z</dcterms:created>
  <dcterms:modified xsi:type="dcterms:W3CDTF">2019-01-09T15:37:00Z</dcterms:modified>
</cp:coreProperties>
</file>