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A" w:rsidRPr="007525FA" w:rsidRDefault="007525FA" w:rsidP="007525FA">
      <w:pPr>
        <w:pStyle w:val="Heading1"/>
        <w:spacing w:before="0" w:line="675" w:lineRule="atLeast"/>
        <w:jc w:val="center"/>
        <w:rPr>
          <w:b w:val="0"/>
          <w:bCs w:val="0"/>
          <w:color w:val="333333"/>
          <w:sz w:val="57"/>
          <w:szCs w:val="57"/>
        </w:rPr>
      </w:pPr>
      <w:r w:rsidRPr="007525FA">
        <w:rPr>
          <w:b w:val="0"/>
          <w:bCs w:val="0"/>
          <w:color w:val="333333"/>
          <w:sz w:val="57"/>
          <w:szCs w:val="57"/>
        </w:rPr>
        <w:t>6 Games for Pupils with Dyscalculia</w:t>
      </w:r>
    </w:p>
    <w:p w:rsidR="007525FA" w:rsidRPr="007525FA" w:rsidRDefault="007525FA" w:rsidP="007525FA">
      <w:pPr>
        <w:pStyle w:val="standfirst"/>
        <w:spacing w:before="150" w:beforeAutospacing="0" w:after="150" w:afterAutospacing="0"/>
        <w:rPr>
          <w:rFonts w:asciiTheme="majorHAnsi" w:hAnsiTheme="majorHAnsi"/>
          <w:color w:val="000000"/>
          <w:sz w:val="30"/>
          <w:szCs w:val="30"/>
        </w:rPr>
      </w:pPr>
      <w:r w:rsidRPr="007525FA">
        <w:rPr>
          <w:rFonts w:asciiTheme="majorHAnsi" w:hAnsiTheme="majorHAnsi"/>
          <w:color w:val="000000"/>
          <w:sz w:val="30"/>
          <w:szCs w:val="30"/>
        </w:rPr>
        <w:t xml:space="preserve">Pupils with dyscalculia </w:t>
      </w:r>
      <w:proofErr w:type="gramStart"/>
      <w:r w:rsidRPr="007525FA">
        <w:rPr>
          <w:rFonts w:asciiTheme="majorHAnsi" w:hAnsiTheme="majorHAnsi"/>
          <w:color w:val="000000"/>
          <w:sz w:val="30"/>
          <w:szCs w:val="30"/>
        </w:rPr>
        <w:t>aren’t</w:t>
      </w:r>
      <w:proofErr w:type="gramEnd"/>
      <w:r w:rsidRPr="007525FA">
        <w:rPr>
          <w:rFonts w:asciiTheme="majorHAnsi" w:hAnsiTheme="majorHAnsi"/>
          <w:color w:val="000000"/>
          <w:sz w:val="30"/>
          <w:szCs w:val="30"/>
        </w:rPr>
        <w:t xml:space="preserve"> simply ‘bad at maths’, says Judy </w:t>
      </w:r>
      <w:proofErr w:type="spellStart"/>
      <w:r w:rsidRPr="007525FA">
        <w:rPr>
          <w:rFonts w:asciiTheme="majorHAnsi" w:hAnsiTheme="majorHAnsi"/>
          <w:color w:val="000000"/>
          <w:sz w:val="30"/>
          <w:szCs w:val="30"/>
        </w:rPr>
        <w:t>Hornigold</w:t>
      </w:r>
      <w:proofErr w:type="spellEnd"/>
      <w:r w:rsidRPr="007525FA">
        <w:rPr>
          <w:rFonts w:asciiTheme="majorHAnsi" w:hAnsiTheme="majorHAnsi"/>
          <w:color w:val="000000"/>
          <w:sz w:val="30"/>
          <w:szCs w:val="30"/>
        </w:rPr>
        <w:t xml:space="preserve"> – and games like these can help them develop in the specific areas where they struggle...</w:t>
      </w:r>
    </w:p>
    <w:p w:rsidR="007525FA" w:rsidRDefault="007525FA" w:rsidP="007525FA">
      <w:pPr>
        <w:spacing w:before="90" w:after="240" w:line="360" w:lineRule="atLeast"/>
        <w:jc w:val="center"/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</w:pP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 xml:space="preserve">Judy </w:t>
      </w:r>
      <w:proofErr w:type="spellStart"/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>Hornigold</w:t>
      </w:r>
      <w:proofErr w:type="spellEnd"/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 xml:space="preserve"> is an independent educational consultant specialising in dyscalculia and dyslexia. She is the author of </w:t>
      </w:r>
      <w:r w:rsidRPr="007525FA">
        <w:rPr>
          <w:rFonts w:ascii="bitterregular" w:eastAsia="Times New Roman" w:hAnsi="bitterregular" w:cs="Times New Roman"/>
          <w:b/>
          <w:bCs/>
          <w:i/>
          <w:iCs/>
          <w:color w:val="444444"/>
          <w:sz w:val="24"/>
          <w:szCs w:val="24"/>
          <w:lang w:eastAsia="en-GB"/>
        </w:rPr>
        <w:t>The Dyscalculia Pocketbook</w:t>
      </w:r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> (one of 40 titles in the Teachers’ Pocketbooks series, available at £9.99 each from </w:t>
      </w:r>
      <w:hyperlink r:id="rId7" w:tgtFrame="_blank" w:history="1">
        <w:r w:rsidRPr="007525FA">
          <w:rPr>
            <w:rFonts w:ascii="bitterregular" w:eastAsia="Times New Roman" w:hAnsi="bitterregular" w:cs="Times New Roman"/>
            <w:b/>
            <w:bCs/>
            <w:color w:val="0073C3"/>
            <w:sz w:val="24"/>
            <w:szCs w:val="24"/>
            <w:u w:val="single"/>
            <w:lang w:eastAsia="en-GB"/>
          </w:rPr>
          <w:t>teacherspocketbooks.co.uk</w:t>
        </w:r>
      </w:hyperlink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>), from which this feature has been adapted, with permission.</w:t>
      </w:r>
    </w:p>
    <w:p w:rsid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</w:pP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 xml:space="preserve">It </w:t>
      </w:r>
      <w:proofErr w:type="gramStart"/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>is thought</w:t>
      </w:r>
      <w:proofErr w:type="gramEnd"/>
      <w:r w:rsidRPr="007525FA">
        <w:rPr>
          <w:rFonts w:ascii="bitterregular" w:eastAsia="Times New Roman" w:hAnsi="bitterregular" w:cs="Times New Roman"/>
          <w:b/>
          <w:bCs/>
          <w:color w:val="444444"/>
          <w:sz w:val="24"/>
          <w:szCs w:val="24"/>
          <w:lang w:eastAsia="en-GB"/>
        </w:rPr>
        <w:t xml:space="preserve"> that around 6% of the population have dyscalculia, a similar percentage to that for dyslexia.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Given that this is roughly 1 in 20 people, you are likely to find at least one learner with dyscalculia in every classroom, with boys and girls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being affected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equally.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The following games are some of the best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I’ve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found for engaging, developing and supporting these students – and can also benefit learners who struggle with maths for other reasons, including dyslexia:</w: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1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proofErr w:type="gramStart"/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The</w:t>
      </w:r>
      <w:proofErr w:type="gramEnd"/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 xml:space="preserve"> Staircase Game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To develop an understanding of the sequence of numbers from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1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to 10.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Cuisenaire rods 1-10, one of each colour; a 1-10 die.</w:t>
      </w:r>
      <w:proofErr w:type="gramEnd"/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Two players take it in turn to roll the dice and place the corresponding Cuisenaire rod on the table to create the 1-10 number sequence.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If your number is repeated when the die is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thrown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you miss your turn.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So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, if player one throws a 2 they will place the red rod on the table. If player two throws a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7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, they have to decide how far to the right of the 2 to place the rod in order to make a Cuisenaire Staircase.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5" style="width:0;height:1.5pt" o:hralign="center" o:hrstd="t" o:hrnoshade="t" o:hr="t" fillcolor="#444" stroked="f"/>
        </w:pic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2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Clear the Deck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To develop instant recall of number bonds to ten.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This game is useful at the beginning of a lesson as a warm-up activity, or at the end for revision or consolidation.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Four sets of digit cards from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1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to 9.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Shuffle the cards and place them face up on the table in three rows of four.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Players take it in turns to pick up pairs of cards that add up to 10.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The gaps that are left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are then filled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with cards from the remaining pack.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The idea is to take it in turns and spot the pairs that make 10 as quickly as possible.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#444" stroked="f"/>
        </w:pic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3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Estimation Game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spell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Dyscalculic</w:t>
      </w:r>
      <w:proofErr w:type="spell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learners find it hard to appreciate and compare magnitude in number and this is a motivating and multi-sensory way to help them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do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it. It requires visualisation, too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;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another key skill for them to develop.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10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dried beans/buttons/ glass nuggets; a box to use as a shaker.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Without letting the pupil see, place a small number of the beans/buttons/glass nuggets in an opaque box with a lid.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Shake the box and ask the pupil to guess how many items are in it.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Then empty the contents onto the table and count the items to see how close the guess was.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Encourage the child to place the items in a line.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Repeat with smaller and larger numbers of items.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7" style="width:0;height:1.5pt" o:hralign="center" o:hrstd="t" o:hrnoshade="t" o:hr="t" fillcolor="#444" stroked="f"/>
        </w:pic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4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Ten-frame Game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To develop conservation of number through reorganising number formation on a ten-frame. The game builds a strong visual image of numbers and helps visualise bonds to ten by showing both spaces and filled squares in each arrangement of dots.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Ten ten-frames with each dot arrangement from 1-10; a blank ten-frame; counters to place on the ten-frame.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Pick a ten-frame card at random and show it to the pupil for five seconds.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Then remove it and ask them to reproduce the image on their blank ten-frame using the counters.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Can they tell you how many counters there are? Can they tell you how many spaces there are? Can they make a number story linking the two?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1.5pt" o:hralign="center" o:hrstd="t" o:hrnoshade="t" o:hr="t" fillcolor="#444" stroked="f"/>
        </w:pic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5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proofErr w:type="gramStart"/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The</w:t>
      </w:r>
      <w:proofErr w:type="gramEnd"/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 xml:space="preserve"> Nasty Game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To develop an understanding of place value.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To make the largest four-digit number from rolling a 0-9 dice four times.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A thousands/hundreds/tens/units grid for each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player,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and a 0-9 die.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This game is for two players. They take it in turns to roll the die and write the number in their opponent’s grid until each player has generated a four-digit number.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The ‘nasty’ element is that because you are completing your opponent’s grid and not your own, the focus is on getting your opponent to lose.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So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, if you throw a 1 you would place it in your opponent’s thousands column, whereas a 9 would go in their units column.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pict>
          <v:rect id="_x0000_i1029" style="width:0;height:1.5pt" o:hralign="center" o:hrstd="t" o:hrnoshade="t" o:hr="t" fillcolor="#444" stroked="f"/>
        </w:pict>
      </w:r>
    </w:p>
    <w:p w:rsidR="007525FA" w:rsidRPr="007525FA" w:rsidRDefault="007525FA" w:rsidP="007525FA">
      <w:pPr>
        <w:spacing w:after="75"/>
        <w:outlineLvl w:val="2"/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</w:pP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6</w:t>
      </w:r>
      <w:r w:rsidRPr="007525FA">
        <w:rPr>
          <w:rFonts w:ascii="source_sans_prosemibold" w:eastAsia="Times New Roman" w:hAnsi="source_sans_prosemibold" w:cs="Times New Roman"/>
          <w:b/>
          <w:bCs/>
          <w:color w:val="1DB2FD"/>
          <w:sz w:val="35"/>
          <w:szCs w:val="35"/>
          <w:lang w:eastAsia="en-GB"/>
        </w:rPr>
        <w:t> | </w:t>
      </w:r>
      <w:r w:rsidRPr="007525FA">
        <w:rPr>
          <w:rFonts w:ascii="source_sans_prosemibold" w:eastAsia="Times New Roman" w:hAnsi="source_sans_prosemibold" w:cs="Times New Roman"/>
          <w:b/>
          <w:bCs/>
          <w:color w:val="444444"/>
          <w:sz w:val="35"/>
          <w:szCs w:val="35"/>
          <w:lang w:eastAsia="en-GB"/>
        </w:rPr>
        <w:t>Trains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Aim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To develop estimation and mental arithmetic skills.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This makes a good starter activity, requiring visualisation, prediction,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estimation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and mental calculation.</w:t>
      </w:r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You will need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One Cuisenaire rod of each length between 1 and 10.</w:t>
      </w:r>
      <w:proofErr w:type="gramEnd"/>
    </w:p>
    <w:p w:rsidR="007525FA" w:rsidRPr="007525FA" w:rsidRDefault="007525FA" w:rsidP="007525FA">
      <w:pPr>
        <w:spacing w:before="90" w:after="90" w:line="360" w:lineRule="atLeast"/>
        <w:outlineLvl w:val="4"/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</w:pPr>
      <w:r w:rsidRPr="007525FA">
        <w:rPr>
          <w:rFonts w:ascii="bitterregular" w:eastAsia="Times New Roman" w:hAnsi="bitterregular" w:cs="Times New Roman"/>
          <w:b/>
          <w:bCs/>
          <w:color w:val="444444"/>
          <w:sz w:val="27"/>
          <w:szCs w:val="27"/>
          <w:lang w:eastAsia="en-GB"/>
        </w:rPr>
        <w:t>How to play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This is a game for two players. Decide who goes first and choose a ‘distance’ between 11 and 55.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Let’s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use 25 as an example. The aim is to make a ‘train’ that is exactly 25 long.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Each player in turn puts down a Cuisenaire rod, laying them end to end to create a single train.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The </w:t>
      </w:r>
      <w:proofErr w:type="gramStart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person</w:t>
      </w:r>
      <w:proofErr w:type="gramEnd"/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 xml:space="preserve"> who puts down the last rod to make 25 exactly, wins.</w:t>
      </w:r>
    </w:p>
    <w:p w:rsidR="007525FA" w:rsidRPr="007525FA" w:rsidRDefault="007525FA" w:rsidP="007525FA">
      <w:pPr>
        <w:spacing w:before="90" w:after="240" w:line="360" w:lineRule="atLeast"/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</w:pPr>
      <w:r w:rsidRPr="007525FA">
        <w:rPr>
          <w:rFonts w:ascii="bitterregular" w:eastAsia="Times New Roman" w:hAnsi="bitterregular" w:cs="Times New Roman"/>
          <w:color w:val="444444"/>
          <w:sz w:val="24"/>
          <w:szCs w:val="24"/>
          <w:lang w:eastAsia="en-GB"/>
        </w:rPr>
        <w:t>If a player puts down a rod that makes the train longer than 25, the opponent wins.</w:t>
      </w:r>
    </w:p>
    <w:p w:rsidR="007525FA" w:rsidRPr="007525FA" w:rsidRDefault="00C9520E" w:rsidP="007525FA">
      <w:pPr>
        <w:spacing w:before="300" w:after="3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1.5pt" o:hralign="center" o:hrstd="t" o:hrnoshade="t" o:hr="t" fillcolor="#444" stroked="f"/>
        </w:pict>
      </w:r>
    </w:p>
    <w:p w:rsidR="00FC1824" w:rsidRDefault="00C9520E"/>
    <w:sectPr w:rsidR="00FC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DA" w:rsidRDefault="00047CDA" w:rsidP="00047CDA">
      <w:r>
        <w:separator/>
      </w:r>
    </w:p>
  </w:endnote>
  <w:endnote w:type="continuationSeparator" w:id="0">
    <w:p w:rsidR="00047CDA" w:rsidRDefault="00047CDA" w:rsidP="000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regular">
    <w:altName w:val="Times New Roman"/>
    <w:panose1 w:val="00000000000000000000"/>
    <w:charset w:val="00"/>
    <w:family w:val="roman"/>
    <w:notTrueType/>
    <w:pitch w:val="default"/>
  </w:font>
  <w:font w:name="source_sans_pro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DA" w:rsidRDefault="00047CDA" w:rsidP="00047CDA">
      <w:r>
        <w:separator/>
      </w:r>
    </w:p>
  </w:footnote>
  <w:footnote w:type="continuationSeparator" w:id="0">
    <w:p w:rsidR="00047CDA" w:rsidRDefault="00047CDA" w:rsidP="0004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Header"/>
    </w:pPr>
    <w:bookmarkStart w:id="0" w:name="_GoBack"/>
    <w:bookmarkEnd w:id="0"/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B702BD" wp14:editId="5AF0FD80">
          <wp:simplePos x="0" y="0"/>
          <wp:positionH relativeFrom="column">
            <wp:posOffset>-487680</wp:posOffset>
          </wp:positionH>
          <wp:positionV relativeFrom="paragraph">
            <wp:posOffset>-197485</wp:posOffset>
          </wp:positionV>
          <wp:extent cx="1203960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-220980</wp:posOffset>
          </wp:positionV>
          <wp:extent cx="2106930" cy="586740"/>
          <wp:effectExtent l="0" t="0" r="7620" b="3810"/>
          <wp:wrapSquare wrapText="bothSides"/>
          <wp:docPr id="2" name="Picture 2" descr="Description: CBMDC-colour-RGB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CBMDC-colour-RGB - smalle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DA" w:rsidRDefault="00047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A"/>
    <w:rsid w:val="00047CDA"/>
    <w:rsid w:val="00155821"/>
    <w:rsid w:val="00311ABE"/>
    <w:rsid w:val="007525FA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25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525F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525F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25FA"/>
    <w:rPr>
      <w:b/>
      <w:bCs/>
    </w:rPr>
  </w:style>
  <w:style w:type="character" w:styleId="Emphasis">
    <w:name w:val="Emphasis"/>
    <w:basedOn w:val="DefaultParagraphFont"/>
    <w:uiPriority w:val="20"/>
    <w:qFormat/>
    <w:rsid w:val="007525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25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first">
    <w:name w:val="standfirst"/>
    <w:basedOn w:val="Normal"/>
    <w:rsid w:val="00752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7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DA"/>
  </w:style>
  <w:style w:type="paragraph" w:styleId="Footer">
    <w:name w:val="footer"/>
    <w:basedOn w:val="Normal"/>
    <w:link w:val="FooterChar"/>
    <w:uiPriority w:val="99"/>
    <w:unhideWhenUsed/>
    <w:rsid w:val="00047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DA"/>
  </w:style>
  <w:style w:type="paragraph" w:styleId="BalloonText">
    <w:name w:val="Balloon Text"/>
    <w:basedOn w:val="Normal"/>
    <w:link w:val="BalloonTextChar"/>
    <w:uiPriority w:val="99"/>
    <w:semiHidden/>
    <w:unhideWhenUsed/>
    <w:rsid w:val="0004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5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25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525F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5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525F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2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25FA"/>
    <w:rPr>
      <w:b/>
      <w:bCs/>
    </w:rPr>
  </w:style>
  <w:style w:type="character" w:styleId="Emphasis">
    <w:name w:val="Emphasis"/>
    <w:basedOn w:val="DefaultParagraphFont"/>
    <w:uiPriority w:val="20"/>
    <w:qFormat/>
    <w:rsid w:val="007525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25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first">
    <w:name w:val="standfirst"/>
    <w:basedOn w:val="Normal"/>
    <w:rsid w:val="00752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7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CDA"/>
  </w:style>
  <w:style w:type="paragraph" w:styleId="Footer">
    <w:name w:val="footer"/>
    <w:basedOn w:val="Normal"/>
    <w:link w:val="FooterChar"/>
    <w:uiPriority w:val="99"/>
    <w:unhideWhenUsed/>
    <w:rsid w:val="00047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DA"/>
  </w:style>
  <w:style w:type="paragraph" w:styleId="BalloonText">
    <w:name w:val="Balloon Text"/>
    <w:basedOn w:val="Normal"/>
    <w:link w:val="BalloonTextChar"/>
    <w:uiPriority w:val="99"/>
    <w:semiHidden/>
    <w:unhideWhenUsed/>
    <w:rsid w:val="00047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cherspocketbooks.co.uk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Gaunt</dc:creator>
  <cp:lastModifiedBy>Nicola Gaunt</cp:lastModifiedBy>
  <cp:revision>2</cp:revision>
  <dcterms:created xsi:type="dcterms:W3CDTF">2020-03-24T10:46:00Z</dcterms:created>
  <dcterms:modified xsi:type="dcterms:W3CDTF">2020-03-24T10:46:00Z</dcterms:modified>
</cp:coreProperties>
</file>