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A5" w:rsidRPr="00FF7EA5" w:rsidRDefault="001F0AFB" w:rsidP="00FF7EA5">
      <w:pPr>
        <w:pStyle w:val="Heading1"/>
        <w:shd w:val="clear" w:color="auto" w:fill="A9D18E"/>
        <w:jc w:val="center"/>
        <w:rPr>
          <w:rStyle w:val="SubtleReference"/>
          <w:smallCaps w:val="0"/>
          <w:color w:val="000000" w:themeColor="text1"/>
          <w:u w:val="none"/>
        </w:rPr>
      </w:pPr>
      <w:bookmarkStart w:id="0" w:name="_Toc52210361"/>
      <w:bookmarkStart w:id="1" w:name="_Toc43230653"/>
      <w:r w:rsidRPr="00FF7EA5">
        <w:rPr>
          <w:rStyle w:val="SubtleReference"/>
          <w:smallCaps w:val="0"/>
          <w:color w:val="000000" w:themeColor="text1"/>
          <w:u w:val="none"/>
        </w:rPr>
        <w:t>Reading Tasks Summary</w:t>
      </w:r>
      <w:bookmarkEnd w:id="0"/>
    </w:p>
    <w:p w:rsidR="00FF7EA5" w:rsidRDefault="00FF7EA5" w:rsidP="00FF7EA5">
      <w:pPr>
        <w:rPr>
          <w:rStyle w:val="SubtleReference"/>
          <w:smallCaps w:val="0"/>
          <w:color w:val="000000" w:themeColor="text1"/>
          <w:u w:val="none"/>
        </w:rPr>
      </w:pPr>
    </w:p>
    <w:tbl>
      <w:tblPr>
        <w:tblStyle w:val="TableGrid"/>
        <w:tblpPr w:leftFromText="180" w:rightFromText="180" w:vertAnchor="page" w:horzAnchor="margin" w:tblpY="2752"/>
        <w:tblW w:w="0" w:type="auto"/>
        <w:tblLook w:val="04A0" w:firstRow="1" w:lastRow="0" w:firstColumn="1" w:lastColumn="0" w:noHBand="0" w:noVBand="1"/>
      </w:tblPr>
      <w:tblGrid>
        <w:gridCol w:w="502"/>
        <w:gridCol w:w="7544"/>
        <w:gridCol w:w="845"/>
      </w:tblGrid>
      <w:tr w:rsidR="00FF7EA5" w:rsidTr="00FF7EA5">
        <w:trPr>
          <w:trHeight w:val="416"/>
        </w:trPr>
        <w:tc>
          <w:tcPr>
            <w:tcW w:w="8046" w:type="dxa"/>
            <w:gridSpan w:val="2"/>
            <w:shd w:val="clear" w:color="auto" w:fill="D9D9D9" w:themeFill="background1" w:themeFillShade="D9"/>
          </w:tcPr>
          <w:p w:rsidR="00FF7EA5" w:rsidRDefault="00FF7EA5" w:rsidP="00FF7EA5">
            <w:r>
              <w:rPr>
                <w:b/>
              </w:rPr>
              <w:t>Reading Tasks Summary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FF7EA5" w:rsidRDefault="00FF7EA5" w:rsidP="00FF7EA5">
            <w:pPr>
              <w:tabs>
                <w:tab w:val="left" w:pos="285"/>
                <w:tab w:val="center" w:pos="539"/>
              </w:tabs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sym w:font="Symbol" w:char="F0D6"/>
            </w:r>
          </w:p>
        </w:tc>
      </w:tr>
      <w:tr w:rsidR="00FF7EA5" w:rsidTr="00FF7EA5">
        <w:trPr>
          <w:trHeight w:val="382"/>
        </w:trPr>
        <w:tc>
          <w:tcPr>
            <w:tcW w:w="502" w:type="dxa"/>
          </w:tcPr>
          <w:p w:rsidR="00FF7EA5" w:rsidRDefault="00FF7EA5" w:rsidP="00FF7EA5">
            <w:pPr>
              <w:pStyle w:val="ListParagraph"/>
              <w:numPr>
                <w:ilvl w:val="0"/>
                <w:numId w:val="15"/>
              </w:numPr>
              <w:ind w:hanging="720"/>
            </w:pPr>
          </w:p>
        </w:tc>
        <w:tc>
          <w:tcPr>
            <w:tcW w:w="7544" w:type="dxa"/>
          </w:tcPr>
          <w:p w:rsidR="00FF7EA5" w:rsidRDefault="00FF7EA5" w:rsidP="00FF7EA5">
            <w:pPr>
              <w:pStyle w:val="ListParagraph"/>
              <w:ind w:left="34"/>
              <w:contextualSpacing w:val="0"/>
              <w:rPr>
                <w:b/>
              </w:rPr>
            </w:pPr>
            <w:r>
              <w:rPr>
                <w:b/>
              </w:rPr>
              <w:t>Letter/Grapheme Reading</w:t>
            </w:r>
            <w:r w:rsidRPr="00A84B92">
              <w:rPr>
                <w:b/>
              </w:rPr>
              <w:t xml:space="preserve"> Activity</w:t>
            </w:r>
            <w:r>
              <w:rPr>
                <w:b/>
              </w:rPr>
              <w:t xml:space="preserve"> </w:t>
            </w:r>
          </w:p>
          <w:p w:rsidR="00FF7EA5" w:rsidRPr="00AD2A84" w:rsidRDefault="00FF7EA5" w:rsidP="00FF7EA5">
            <w:pPr>
              <w:pStyle w:val="ListParagraph"/>
              <w:ind w:left="34"/>
              <w:contextualSpacing w:val="0"/>
            </w:pPr>
            <w:r w:rsidRPr="00AD2A84">
              <w:t>Can the pupil read the grapheme fluently and automatically?</w:t>
            </w:r>
          </w:p>
          <w:p w:rsidR="00FF7EA5" w:rsidRDefault="00FF7EA5" w:rsidP="00FF7EA5">
            <w:pPr>
              <w:ind w:left="34"/>
            </w:pPr>
            <w:r>
              <w:t xml:space="preserve">Consider using a marking system to show which they can read fluently and those they can decode but do so slowly, e.g. dot for fluency and dashes </w:t>
            </w:r>
            <w:r w:rsidRPr="00855F0A">
              <w:t>to indicate they are able to decode but slowly.</w:t>
            </w:r>
            <w:r>
              <w:t xml:space="preserve"> </w:t>
            </w:r>
          </w:p>
        </w:tc>
        <w:tc>
          <w:tcPr>
            <w:tcW w:w="845" w:type="dxa"/>
          </w:tcPr>
          <w:p w:rsidR="00FF7EA5" w:rsidRDefault="00FF7EA5" w:rsidP="00FF7EA5">
            <w:pPr>
              <w:jc w:val="center"/>
            </w:pPr>
          </w:p>
        </w:tc>
      </w:tr>
      <w:tr w:rsidR="00FF7EA5" w:rsidTr="00FF7EA5">
        <w:trPr>
          <w:trHeight w:val="1065"/>
        </w:trPr>
        <w:tc>
          <w:tcPr>
            <w:tcW w:w="502" w:type="dxa"/>
          </w:tcPr>
          <w:p w:rsidR="00FF7EA5" w:rsidRDefault="00FF7EA5" w:rsidP="00FF7EA5">
            <w:pPr>
              <w:pStyle w:val="ListParagraph"/>
              <w:numPr>
                <w:ilvl w:val="0"/>
                <w:numId w:val="15"/>
              </w:numPr>
              <w:ind w:hanging="720"/>
            </w:pPr>
          </w:p>
        </w:tc>
        <w:tc>
          <w:tcPr>
            <w:tcW w:w="7544" w:type="dxa"/>
          </w:tcPr>
          <w:p w:rsidR="00FF7EA5" w:rsidRDefault="00FF7EA5" w:rsidP="00FF7EA5">
            <w:pPr>
              <w:pStyle w:val="ListParagraph"/>
              <w:ind w:left="34"/>
              <w:rPr>
                <w:b/>
              </w:rPr>
            </w:pPr>
            <w:r>
              <w:rPr>
                <w:b/>
              </w:rPr>
              <w:t>Common Exception Words</w:t>
            </w:r>
            <w:r w:rsidRPr="00A84B92">
              <w:rPr>
                <w:b/>
              </w:rPr>
              <w:t xml:space="preserve"> </w:t>
            </w:r>
          </w:p>
          <w:p w:rsidR="00FF7EA5" w:rsidRPr="00A30245" w:rsidRDefault="00FF7EA5" w:rsidP="00FF7EA5">
            <w:pPr>
              <w:pStyle w:val="ListParagraph"/>
              <w:ind w:left="34"/>
            </w:pPr>
            <w:r w:rsidRPr="00A30245">
              <w:t>Ask the pupil to read the first set of common exception words. They need to be able to read the words with automaticity.</w:t>
            </w:r>
            <w:r>
              <w:t xml:space="preserve"> Discontinue when the child has made 5 mistakes.  The common exception word sheets could be used as an on-going assessment tool.</w:t>
            </w:r>
          </w:p>
        </w:tc>
        <w:tc>
          <w:tcPr>
            <w:tcW w:w="845" w:type="dxa"/>
          </w:tcPr>
          <w:p w:rsidR="00FF7EA5" w:rsidRDefault="00FF7EA5" w:rsidP="00FF7EA5">
            <w:pPr>
              <w:jc w:val="center"/>
            </w:pPr>
          </w:p>
        </w:tc>
      </w:tr>
      <w:tr w:rsidR="00FF7EA5" w:rsidTr="00FF7EA5">
        <w:trPr>
          <w:trHeight w:val="1071"/>
        </w:trPr>
        <w:tc>
          <w:tcPr>
            <w:tcW w:w="502" w:type="dxa"/>
          </w:tcPr>
          <w:p w:rsidR="00FF7EA5" w:rsidRDefault="00FF7EA5" w:rsidP="00FF7EA5">
            <w:pPr>
              <w:pStyle w:val="ListParagraph"/>
              <w:numPr>
                <w:ilvl w:val="0"/>
                <w:numId w:val="15"/>
              </w:numPr>
              <w:ind w:hanging="720"/>
            </w:pPr>
          </w:p>
        </w:tc>
        <w:tc>
          <w:tcPr>
            <w:tcW w:w="7544" w:type="dxa"/>
          </w:tcPr>
          <w:p w:rsidR="00FF7EA5" w:rsidRPr="00D178D1" w:rsidRDefault="00FF7EA5" w:rsidP="00FF7E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Sentence Reading</w:t>
            </w:r>
            <w:r w:rsidRPr="00D178D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(assessment tool 5)</w:t>
            </w:r>
          </w:p>
          <w:p w:rsidR="00FF7EA5" w:rsidRDefault="00FF7EA5" w:rsidP="00FF7E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Ask the pupil to read the sentences on the sentence card and mark their responses on the grid. Discontinue when the pupil has made 5 mistakes.</w:t>
            </w:r>
          </w:p>
          <w:p w:rsidR="00FF7EA5" w:rsidRPr="00D178D1" w:rsidRDefault="00FF7EA5" w:rsidP="00FF7EA5">
            <w:pPr>
              <w:rPr>
                <w:color w:val="4F81BD" w:themeColor="accent1"/>
              </w:rPr>
            </w:pPr>
            <w:r>
              <w:rPr>
                <w:color w:val="000000" w:themeColor="text1"/>
              </w:rPr>
              <w:t xml:space="preserve">This will help you plan what to focus on when developing a reading intervention for the pupil. </w:t>
            </w:r>
          </w:p>
        </w:tc>
        <w:tc>
          <w:tcPr>
            <w:tcW w:w="845" w:type="dxa"/>
          </w:tcPr>
          <w:p w:rsidR="00FF7EA5" w:rsidRDefault="00FF7EA5" w:rsidP="00FF7EA5">
            <w:pPr>
              <w:jc w:val="center"/>
            </w:pPr>
          </w:p>
        </w:tc>
      </w:tr>
    </w:tbl>
    <w:p w:rsidR="00FF7EA5" w:rsidRDefault="00FF7EA5" w:rsidP="00FF7EA5">
      <w:pPr>
        <w:rPr>
          <w:rStyle w:val="SubtleReference"/>
          <w:smallCaps w:val="0"/>
          <w:color w:val="000000" w:themeColor="text1"/>
          <w:u w:val="none"/>
        </w:rPr>
      </w:pPr>
    </w:p>
    <w:p w:rsidR="00FF7EA5" w:rsidRDefault="00FF7EA5" w:rsidP="00FF7EA5">
      <w:pPr>
        <w:rPr>
          <w:rStyle w:val="SubtleReference"/>
          <w:smallCaps w:val="0"/>
          <w:color w:val="000000" w:themeColor="text1"/>
          <w:u w:val="none"/>
        </w:rPr>
      </w:pPr>
    </w:p>
    <w:p w:rsidR="00FF7EA5" w:rsidRDefault="00FF7EA5" w:rsidP="00FF7EA5">
      <w:pPr>
        <w:rPr>
          <w:rStyle w:val="SubtleReference"/>
          <w:smallCaps w:val="0"/>
          <w:color w:val="000000" w:themeColor="text1"/>
          <w:u w:val="none"/>
        </w:rPr>
      </w:pPr>
    </w:p>
    <w:p w:rsidR="00FF7EA5" w:rsidRDefault="00FF7EA5" w:rsidP="00FF7EA5">
      <w:pPr>
        <w:rPr>
          <w:rStyle w:val="SubtleReference"/>
          <w:smallCaps w:val="0"/>
          <w:color w:val="000000" w:themeColor="text1"/>
          <w:u w:val="none"/>
        </w:rPr>
      </w:pPr>
      <w:bookmarkStart w:id="2" w:name="_GoBack"/>
      <w:bookmarkEnd w:id="1"/>
      <w:bookmarkEnd w:id="2"/>
    </w:p>
    <w:sectPr w:rsidR="00FF7EA5" w:rsidSect="0072242E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8F" w:rsidRDefault="00D4208F" w:rsidP="0019124A">
      <w:pPr>
        <w:spacing w:after="0" w:line="240" w:lineRule="auto"/>
      </w:pPr>
      <w:r>
        <w:separator/>
      </w:r>
    </w:p>
  </w:endnote>
  <w:endnote w:type="continuationSeparator" w:id="0">
    <w:p w:rsidR="00D4208F" w:rsidRDefault="00D4208F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22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4D6" w:rsidRDefault="00C814D6" w:rsidP="00C814D6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820032" behindDoc="0" locked="0" layoutInCell="1" allowOverlap="1" wp14:anchorId="29C64E95" wp14:editId="37C1688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D2FAB4F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C814D6" w:rsidRDefault="00C814D6" w:rsidP="00C814D6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C814D6" w:rsidRDefault="00C814D6" w:rsidP="00C814D6">
        <w:pPr>
          <w:pStyle w:val="Footer"/>
          <w:jc w:val="center"/>
        </w:pPr>
      </w:p>
      <w:p w:rsidR="00C814D6" w:rsidRDefault="00C814D6" w:rsidP="00C81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4D6" w:rsidRDefault="00C81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8F" w:rsidRDefault="00D4208F" w:rsidP="0019124A">
      <w:pPr>
        <w:spacing w:after="0" w:line="240" w:lineRule="auto"/>
      </w:pPr>
      <w:r>
        <w:separator/>
      </w:r>
    </w:p>
  </w:footnote>
  <w:footnote w:type="continuationSeparator" w:id="0">
    <w:p w:rsidR="00D4208F" w:rsidRDefault="00D4208F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5CD0220F" wp14:editId="37B77A2F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316" name="Picture 316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314" name="Picture 314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52CAD"/>
    <w:rsid w:val="00260635"/>
    <w:rsid w:val="00281120"/>
    <w:rsid w:val="002859CC"/>
    <w:rsid w:val="00287A40"/>
    <w:rsid w:val="0029218E"/>
    <w:rsid w:val="002A4655"/>
    <w:rsid w:val="002A4A5B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5AE2"/>
    <w:rsid w:val="003B764C"/>
    <w:rsid w:val="003D2387"/>
    <w:rsid w:val="003E6474"/>
    <w:rsid w:val="00413C8F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4A2A"/>
    <w:rsid w:val="006C686C"/>
    <w:rsid w:val="006E6093"/>
    <w:rsid w:val="00712F03"/>
    <w:rsid w:val="007177AC"/>
    <w:rsid w:val="0072242E"/>
    <w:rsid w:val="00725702"/>
    <w:rsid w:val="00731FD5"/>
    <w:rsid w:val="007346D0"/>
    <w:rsid w:val="00746A1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14D6"/>
    <w:rsid w:val="00C84E04"/>
    <w:rsid w:val="00C97CA9"/>
    <w:rsid w:val="00CA2B75"/>
    <w:rsid w:val="00CA3DA6"/>
    <w:rsid w:val="00CB570D"/>
    <w:rsid w:val="00CC4B08"/>
    <w:rsid w:val="00CC579E"/>
    <w:rsid w:val="00CC5C9A"/>
    <w:rsid w:val="00CD0737"/>
    <w:rsid w:val="00CD35CB"/>
    <w:rsid w:val="00D020DA"/>
    <w:rsid w:val="00D02EC0"/>
    <w:rsid w:val="00D13B12"/>
    <w:rsid w:val="00D21EBF"/>
    <w:rsid w:val="00D2543A"/>
    <w:rsid w:val="00D30242"/>
    <w:rsid w:val="00D4208F"/>
    <w:rsid w:val="00D514D9"/>
    <w:rsid w:val="00D522EC"/>
    <w:rsid w:val="00D531CF"/>
    <w:rsid w:val="00D53A7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1F693B-9442-4E31-8F18-A4EB0E4E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4</cp:revision>
  <cp:lastPrinted>2020-09-28T17:09:00Z</cp:lastPrinted>
  <dcterms:created xsi:type="dcterms:W3CDTF">2020-09-28T18:01:00Z</dcterms:created>
  <dcterms:modified xsi:type="dcterms:W3CDTF">2020-09-28T18:04:00Z</dcterms:modified>
</cp:coreProperties>
</file>