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18" w:rsidRDefault="00380D18" w:rsidP="00380D18">
      <w:pPr>
        <w:jc w:val="right"/>
        <w:rPr>
          <w:b/>
          <w:sz w:val="28"/>
          <w:szCs w:val="28"/>
          <w:u w:val="single"/>
        </w:rPr>
      </w:pPr>
      <w:r>
        <w:rPr>
          <w:rFonts w:cs="Arial"/>
          <w:noProof/>
        </w:rPr>
        <w:drawing>
          <wp:inline distT="0" distB="0" distL="0" distR="0" wp14:anchorId="2D67780F" wp14:editId="757597F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981B23" w:rsidP="00981B23">
      <w:pPr>
        <w:jc w:val="center"/>
        <w:rPr>
          <w:sz w:val="28"/>
          <w:szCs w:val="28"/>
        </w:rPr>
      </w:pPr>
      <w:r>
        <w:rPr>
          <w:b/>
          <w:sz w:val="28"/>
          <w:szCs w:val="28"/>
          <w:u w:val="single"/>
        </w:rPr>
        <w:t>CONSULTATION ON FUND</w:t>
      </w:r>
      <w:r w:rsidR="00F027AB">
        <w:rPr>
          <w:b/>
          <w:sz w:val="28"/>
          <w:szCs w:val="28"/>
          <w:u w:val="single"/>
        </w:rPr>
        <w:t>ING HIGH NEEDS PROVISION 2020/21</w:t>
      </w:r>
    </w:p>
    <w:p w:rsidR="004A24A3" w:rsidRDefault="004A24A3" w:rsidP="00225A33">
      <w:pPr>
        <w:jc w:val="both"/>
        <w:rPr>
          <w:sz w:val="22"/>
          <w:szCs w:val="22"/>
        </w:rPr>
      </w:pPr>
    </w:p>
    <w:p w:rsidR="00854869" w:rsidRPr="00924C42" w:rsidRDefault="00854869" w:rsidP="00225A33">
      <w:pPr>
        <w:jc w:val="both"/>
        <w:rPr>
          <w:sz w:val="22"/>
          <w:szCs w:val="22"/>
        </w:rPr>
      </w:pPr>
    </w:p>
    <w:p w:rsidR="00BF65FB" w:rsidRPr="00924C42" w:rsidRDefault="00BF65FB" w:rsidP="00225A33">
      <w:pPr>
        <w:jc w:val="both"/>
        <w:rPr>
          <w:sz w:val="22"/>
          <w:szCs w:val="22"/>
        </w:rPr>
      </w:pPr>
      <w:r w:rsidRPr="00924C42">
        <w:rPr>
          <w:b/>
          <w:sz w:val="22"/>
          <w:szCs w:val="22"/>
        </w:rPr>
        <w:t>1.</w:t>
      </w:r>
      <w:r w:rsidRPr="00924C42">
        <w:rPr>
          <w:b/>
          <w:sz w:val="22"/>
          <w:szCs w:val="22"/>
        </w:rPr>
        <w:tab/>
      </w:r>
      <w:r w:rsidR="00D96F3C" w:rsidRPr="00981B23">
        <w:rPr>
          <w:b/>
          <w:sz w:val="22"/>
          <w:szCs w:val="22"/>
        </w:rPr>
        <w:t>Introduction</w:t>
      </w:r>
      <w:r w:rsidR="002364E2">
        <w:rPr>
          <w:b/>
          <w:sz w:val="22"/>
          <w:szCs w:val="22"/>
        </w:rPr>
        <w:t xml:space="preserve"> &amp; Summary</w:t>
      </w:r>
    </w:p>
    <w:p w:rsidR="007E476C" w:rsidRDefault="007E476C" w:rsidP="00225A33">
      <w:pPr>
        <w:jc w:val="both"/>
        <w:rPr>
          <w:sz w:val="22"/>
          <w:szCs w:val="22"/>
        </w:rPr>
      </w:pPr>
    </w:p>
    <w:p w:rsidR="00980344" w:rsidRDefault="00980344" w:rsidP="00980344">
      <w:pPr>
        <w:jc w:val="both"/>
        <w:rPr>
          <w:sz w:val="22"/>
          <w:szCs w:val="22"/>
        </w:rPr>
      </w:pPr>
      <w:r>
        <w:rPr>
          <w:sz w:val="22"/>
          <w:szCs w:val="22"/>
        </w:rPr>
        <w:t xml:space="preserve">1.1 </w:t>
      </w:r>
      <w:r w:rsidR="0048062C">
        <w:rPr>
          <w:sz w:val="22"/>
          <w:szCs w:val="22"/>
        </w:rPr>
        <w:t>This consultation document is written to set out, and collect views on</w:t>
      </w:r>
      <w:r w:rsidR="0080443E">
        <w:rPr>
          <w:sz w:val="22"/>
          <w:szCs w:val="22"/>
        </w:rPr>
        <w:t>,</w:t>
      </w:r>
      <w:r w:rsidRPr="00ED7E4E">
        <w:rPr>
          <w:sz w:val="22"/>
          <w:szCs w:val="22"/>
        </w:rPr>
        <w:t xml:space="preserve"> the formula approach that Bradford Council proposes to use to delegate </w:t>
      </w:r>
      <w:r w:rsidR="0048062C">
        <w:rPr>
          <w:sz w:val="22"/>
          <w:szCs w:val="22"/>
        </w:rPr>
        <w:t xml:space="preserve">Dedicated Schools Grant </w:t>
      </w:r>
      <w:r w:rsidRPr="00ED7E4E">
        <w:rPr>
          <w:sz w:val="22"/>
          <w:szCs w:val="22"/>
        </w:rPr>
        <w:t xml:space="preserve">High Needs Block funding to </w:t>
      </w:r>
      <w:r w:rsidR="00A8759E">
        <w:rPr>
          <w:sz w:val="22"/>
          <w:szCs w:val="22"/>
        </w:rPr>
        <w:t xml:space="preserve">high needs </w:t>
      </w:r>
      <w:r w:rsidRPr="00ED7E4E">
        <w:rPr>
          <w:sz w:val="22"/>
          <w:szCs w:val="22"/>
        </w:rPr>
        <w:t>providers</w:t>
      </w:r>
      <w:r w:rsidR="00A8759E">
        <w:rPr>
          <w:sz w:val="22"/>
          <w:szCs w:val="22"/>
        </w:rPr>
        <w:t>,</w:t>
      </w:r>
      <w:r w:rsidR="00A6697B">
        <w:rPr>
          <w:sz w:val="22"/>
          <w:szCs w:val="22"/>
        </w:rPr>
        <w:t xml:space="preserve"> mainstream schools and</w:t>
      </w:r>
      <w:r w:rsidR="00A8759E">
        <w:rPr>
          <w:sz w:val="22"/>
          <w:szCs w:val="22"/>
        </w:rPr>
        <w:t xml:space="preserve"> academies and other settings</w:t>
      </w:r>
      <w:r w:rsidR="00F027AB">
        <w:rPr>
          <w:sz w:val="22"/>
          <w:szCs w:val="22"/>
        </w:rPr>
        <w:t xml:space="preserve"> in the 2020/21</w:t>
      </w:r>
      <w:r w:rsidRPr="00ED7E4E">
        <w:rPr>
          <w:sz w:val="22"/>
          <w:szCs w:val="22"/>
        </w:rPr>
        <w:t xml:space="preserve"> financial year. This is known</w:t>
      </w:r>
      <w:r w:rsidR="009D16B4">
        <w:rPr>
          <w:sz w:val="22"/>
          <w:szCs w:val="22"/>
        </w:rPr>
        <w:t>,</w:t>
      </w:r>
      <w:r w:rsidRPr="00ED7E4E">
        <w:rPr>
          <w:sz w:val="22"/>
          <w:szCs w:val="22"/>
        </w:rPr>
        <w:t xml:space="preserve"> and referred to</w:t>
      </w:r>
      <w:r w:rsidR="009D16B4">
        <w:rPr>
          <w:sz w:val="22"/>
          <w:szCs w:val="22"/>
        </w:rPr>
        <w:t>,</w:t>
      </w:r>
      <w:r w:rsidRPr="00ED7E4E">
        <w:rPr>
          <w:sz w:val="22"/>
          <w:szCs w:val="22"/>
        </w:rPr>
        <w:t xml:space="preserve"> as our ‘Place-Plus’ system</w:t>
      </w:r>
      <w:r w:rsidR="00F03D45">
        <w:rPr>
          <w:sz w:val="22"/>
          <w:szCs w:val="22"/>
        </w:rPr>
        <w:t xml:space="preserve"> and has two parts: a) core (or place) funding and b) top-up (or plus) funding</w:t>
      </w:r>
      <w:r w:rsidR="00A8759E">
        <w:rPr>
          <w:sz w:val="22"/>
          <w:szCs w:val="22"/>
        </w:rPr>
        <w:t>.</w:t>
      </w:r>
    </w:p>
    <w:p w:rsidR="009D16B4" w:rsidRDefault="009D16B4" w:rsidP="00980344">
      <w:pPr>
        <w:jc w:val="both"/>
        <w:rPr>
          <w:sz w:val="22"/>
          <w:szCs w:val="22"/>
        </w:rPr>
      </w:pPr>
    </w:p>
    <w:p w:rsidR="009D16B4" w:rsidRPr="009D16B4" w:rsidRDefault="009D16B4" w:rsidP="009D16B4">
      <w:pPr>
        <w:jc w:val="both"/>
        <w:rPr>
          <w:sz w:val="22"/>
          <w:szCs w:val="22"/>
        </w:rPr>
      </w:pPr>
      <w:r>
        <w:rPr>
          <w:sz w:val="22"/>
          <w:szCs w:val="22"/>
        </w:rPr>
        <w:t xml:space="preserve">1.2 </w:t>
      </w:r>
      <w:r w:rsidRPr="009D16B4">
        <w:rPr>
          <w:sz w:val="22"/>
          <w:szCs w:val="22"/>
        </w:rPr>
        <w:t>Th</w:t>
      </w:r>
      <w:r>
        <w:rPr>
          <w:sz w:val="22"/>
          <w:szCs w:val="22"/>
        </w:rPr>
        <w:t>e DfE announced</w:t>
      </w:r>
      <w:r w:rsidR="0048062C">
        <w:rPr>
          <w:sz w:val="22"/>
          <w:szCs w:val="22"/>
        </w:rPr>
        <w:t xml:space="preserve"> in September 2019</w:t>
      </w:r>
      <w:r>
        <w:rPr>
          <w:sz w:val="22"/>
          <w:szCs w:val="22"/>
        </w:rPr>
        <w:t xml:space="preserve"> a</w:t>
      </w:r>
      <w:r w:rsidRPr="009D16B4">
        <w:rPr>
          <w:sz w:val="22"/>
          <w:szCs w:val="22"/>
        </w:rPr>
        <w:t xml:space="preserve"> full review of the </w:t>
      </w:r>
      <w:r>
        <w:rPr>
          <w:sz w:val="22"/>
          <w:szCs w:val="22"/>
        </w:rPr>
        <w:t xml:space="preserve">SEND / </w:t>
      </w:r>
      <w:r w:rsidRPr="009D16B4">
        <w:rPr>
          <w:sz w:val="22"/>
          <w:szCs w:val="22"/>
        </w:rPr>
        <w:t xml:space="preserve">EHCP system. The DfE also conducted in summer 2019 a ‘Call for Evidence’ on the financial arrangements for SEND and alternative provision. </w:t>
      </w:r>
      <w:r w:rsidRPr="00224C4E">
        <w:rPr>
          <w:sz w:val="22"/>
          <w:szCs w:val="22"/>
        </w:rPr>
        <w:t xml:space="preserve">These together are very likely to result in changes to the </w:t>
      </w:r>
      <w:r w:rsidR="008757AE" w:rsidRPr="00224C4E">
        <w:rPr>
          <w:sz w:val="22"/>
          <w:szCs w:val="22"/>
        </w:rPr>
        <w:t xml:space="preserve">national </w:t>
      </w:r>
      <w:r w:rsidRPr="00224C4E">
        <w:rPr>
          <w:sz w:val="22"/>
          <w:szCs w:val="22"/>
        </w:rPr>
        <w:t>high needs funding</w:t>
      </w:r>
      <w:r w:rsidR="0048062C" w:rsidRPr="00224C4E">
        <w:rPr>
          <w:sz w:val="22"/>
          <w:szCs w:val="22"/>
        </w:rPr>
        <w:t xml:space="preserve"> system in the future. F</w:t>
      </w:r>
      <w:r w:rsidRPr="00224C4E">
        <w:rPr>
          <w:sz w:val="22"/>
          <w:szCs w:val="22"/>
        </w:rPr>
        <w:t>or 2020/21,</w:t>
      </w:r>
      <w:r w:rsidR="00BB7412" w:rsidRPr="00224C4E">
        <w:rPr>
          <w:sz w:val="22"/>
          <w:szCs w:val="22"/>
        </w:rPr>
        <w:t xml:space="preserve"> based on announcements</w:t>
      </w:r>
      <w:r w:rsidR="0048062C" w:rsidRPr="00224C4E">
        <w:rPr>
          <w:sz w:val="22"/>
          <w:szCs w:val="22"/>
        </w:rPr>
        <w:t xml:space="preserve"> made prior to the general election held on 12 December,</w:t>
      </w:r>
      <w:r w:rsidRPr="00224C4E">
        <w:rPr>
          <w:sz w:val="22"/>
          <w:szCs w:val="22"/>
        </w:rPr>
        <w:t xml:space="preserve"> the basic construct of the national high needs funding system</w:t>
      </w:r>
      <w:r w:rsidR="0048062C" w:rsidRPr="00224C4E">
        <w:rPr>
          <w:sz w:val="22"/>
          <w:szCs w:val="22"/>
        </w:rPr>
        <w:t xml:space="preserve"> is anticipated to remain</w:t>
      </w:r>
      <w:r w:rsidRPr="00224C4E">
        <w:rPr>
          <w:sz w:val="22"/>
          <w:szCs w:val="22"/>
        </w:rPr>
        <w:t xml:space="preserve"> in place and unchanged from</w:t>
      </w:r>
      <w:r w:rsidR="005D35FF" w:rsidRPr="00224C4E">
        <w:rPr>
          <w:sz w:val="22"/>
          <w:szCs w:val="22"/>
        </w:rPr>
        <w:t xml:space="preserve"> existing</w:t>
      </w:r>
      <w:r w:rsidR="0048062C" w:rsidRPr="00224C4E">
        <w:rPr>
          <w:sz w:val="22"/>
          <w:szCs w:val="22"/>
        </w:rPr>
        <w:t xml:space="preserve"> arrangements</w:t>
      </w:r>
      <w:r w:rsidR="00BB7412" w:rsidRPr="00224C4E">
        <w:rPr>
          <w:sz w:val="22"/>
          <w:szCs w:val="22"/>
        </w:rPr>
        <w:t xml:space="preserve">. Our consultation </w:t>
      </w:r>
      <w:r w:rsidR="001D004C" w:rsidRPr="00224C4E">
        <w:rPr>
          <w:sz w:val="22"/>
          <w:szCs w:val="22"/>
        </w:rPr>
        <w:t>here</w:t>
      </w:r>
      <w:r w:rsidR="0048062C" w:rsidRPr="00224C4E">
        <w:rPr>
          <w:sz w:val="22"/>
          <w:szCs w:val="22"/>
        </w:rPr>
        <w:t xml:space="preserve"> assumes this.</w:t>
      </w:r>
      <w:r w:rsidRPr="00224C4E">
        <w:rPr>
          <w:sz w:val="22"/>
          <w:szCs w:val="22"/>
        </w:rPr>
        <w:t xml:space="preserve"> </w:t>
      </w:r>
      <w:r w:rsidR="00BB7412" w:rsidRPr="00224C4E">
        <w:rPr>
          <w:sz w:val="22"/>
          <w:szCs w:val="22"/>
        </w:rPr>
        <w:t>If changes in the national system</w:t>
      </w:r>
      <w:r w:rsidR="00823EE1" w:rsidRPr="00224C4E">
        <w:rPr>
          <w:sz w:val="22"/>
          <w:szCs w:val="22"/>
        </w:rPr>
        <w:t>, or changes to the values of High Needs Block funding previously announced,</w:t>
      </w:r>
      <w:r w:rsidR="00BB7412" w:rsidRPr="00224C4E">
        <w:rPr>
          <w:sz w:val="22"/>
          <w:szCs w:val="22"/>
        </w:rPr>
        <w:t xml:space="preserve"> are made for 2020/21</w:t>
      </w:r>
      <w:r w:rsidR="0086786A" w:rsidRPr="00224C4E">
        <w:rPr>
          <w:sz w:val="22"/>
          <w:szCs w:val="22"/>
        </w:rPr>
        <w:t>,</w:t>
      </w:r>
      <w:r w:rsidR="00BB7412" w:rsidRPr="00224C4E">
        <w:rPr>
          <w:sz w:val="22"/>
          <w:szCs w:val="22"/>
        </w:rPr>
        <w:t xml:space="preserve"> following the general election, we will need to asses</w:t>
      </w:r>
      <w:r w:rsidR="007A0E6F" w:rsidRPr="00224C4E">
        <w:rPr>
          <w:sz w:val="22"/>
          <w:szCs w:val="22"/>
        </w:rPr>
        <w:t>s</w:t>
      </w:r>
      <w:r w:rsidR="00BB7412" w:rsidRPr="00224C4E">
        <w:rPr>
          <w:sz w:val="22"/>
          <w:szCs w:val="22"/>
        </w:rPr>
        <w:t xml:space="preserve"> how these changes affect our proposals and we </w:t>
      </w:r>
      <w:r w:rsidR="0044558C" w:rsidRPr="00224C4E">
        <w:rPr>
          <w:sz w:val="22"/>
          <w:szCs w:val="22"/>
        </w:rPr>
        <w:t>will</w:t>
      </w:r>
      <w:r w:rsidR="00BB7412" w:rsidRPr="00224C4E">
        <w:rPr>
          <w:sz w:val="22"/>
          <w:szCs w:val="22"/>
        </w:rPr>
        <w:t xml:space="preserve"> need to discuss this with the Schools Forum and possibly</w:t>
      </w:r>
      <w:r w:rsidR="001D004C" w:rsidRPr="00224C4E">
        <w:rPr>
          <w:sz w:val="22"/>
          <w:szCs w:val="22"/>
        </w:rPr>
        <w:t xml:space="preserve"> revise our proposals and</w:t>
      </w:r>
      <w:r w:rsidR="00BB7412" w:rsidRPr="00224C4E">
        <w:rPr>
          <w:sz w:val="22"/>
          <w:szCs w:val="22"/>
        </w:rPr>
        <w:t xml:space="preserve"> consult again.</w:t>
      </w:r>
      <w:r w:rsidR="007C030A" w:rsidRPr="00224C4E">
        <w:rPr>
          <w:sz w:val="22"/>
          <w:szCs w:val="22"/>
        </w:rPr>
        <w:t xml:space="preserve"> This may affect implementation timescales.</w:t>
      </w:r>
      <w:r w:rsidR="00BB7412" w:rsidRPr="00224C4E">
        <w:rPr>
          <w:sz w:val="22"/>
          <w:szCs w:val="22"/>
        </w:rPr>
        <w:t xml:space="preserve"> However, </w:t>
      </w:r>
      <w:r w:rsidR="006F05BB" w:rsidRPr="00224C4E">
        <w:rPr>
          <w:sz w:val="22"/>
          <w:szCs w:val="22"/>
        </w:rPr>
        <w:t xml:space="preserve">in seeking to ensure </w:t>
      </w:r>
      <w:r w:rsidR="00583686" w:rsidRPr="00224C4E">
        <w:rPr>
          <w:sz w:val="22"/>
          <w:szCs w:val="22"/>
        </w:rPr>
        <w:t>appropriate consultation and</w:t>
      </w:r>
      <w:r w:rsidR="006F05BB" w:rsidRPr="00224C4E">
        <w:rPr>
          <w:sz w:val="22"/>
          <w:szCs w:val="22"/>
        </w:rPr>
        <w:t xml:space="preserve"> recognising</w:t>
      </w:r>
      <w:r w:rsidR="00583686" w:rsidRPr="00224C4E">
        <w:rPr>
          <w:sz w:val="22"/>
          <w:szCs w:val="22"/>
        </w:rPr>
        <w:t xml:space="preserve"> lead in times, </w:t>
      </w:r>
      <w:r w:rsidR="00BB7412" w:rsidRPr="00224C4E">
        <w:rPr>
          <w:sz w:val="22"/>
          <w:szCs w:val="22"/>
        </w:rPr>
        <w:t>we cannot delay an</w:t>
      </w:r>
      <w:r w:rsidR="001D004C" w:rsidRPr="00224C4E">
        <w:rPr>
          <w:sz w:val="22"/>
          <w:szCs w:val="22"/>
        </w:rPr>
        <w:t>y</w:t>
      </w:r>
      <w:r w:rsidR="0086786A" w:rsidRPr="00224C4E">
        <w:rPr>
          <w:sz w:val="22"/>
          <w:szCs w:val="22"/>
        </w:rPr>
        <w:t xml:space="preserve"> longer</w:t>
      </w:r>
      <w:r w:rsidR="00BB7412" w:rsidRPr="00224C4E">
        <w:rPr>
          <w:sz w:val="22"/>
          <w:szCs w:val="22"/>
        </w:rPr>
        <w:t xml:space="preserve"> </w:t>
      </w:r>
      <w:r w:rsidR="00010787" w:rsidRPr="00224C4E">
        <w:rPr>
          <w:sz w:val="22"/>
          <w:szCs w:val="22"/>
        </w:rPr>
        <w:t xml:space="preserve">signalling and </w:t>
      </w:r>
      <w:r w:rsidR="00BB7412" w:rsidRPr="00224C4E">
        <w:rPr>
          <w:sz w:val="22"/>
          <w:szCs w:val="22"/>
        </w:rPr>
        <w:t>consulting with schools and other providers on our proposal</w:t>
      </w:r>
      <w:r w:rsidR="001D004C" w:rsidRPr="00224C4E">
        <w:rPr>
          <w:sz w:val="22"/>
          <w:szCs w:val="22"/>
        </w:rPr>
        <w:t>s</w:t>
      </w:r>
      <w:r w:rsidR="00BB7412" w:rsidRPr="00224C4E">
        <w:rPr>
          <w:sz w:val="22"/>
          <w:szCs w:val="22"/>
        </w:rPr>
        <w:t xml:space="preserve"> for our high needs funding approach locally</w:t>
      </w:r>
      <w:r w:rsidR="0086786A" w:rsidRPr="00224C4E">
        <w:rPr>
          <w:sz w:val="22"/>
          <w:szCs w:val="22"/>
        </w:rPr>
        <w:t xml:space="preserve"> from April 2020</w:t>
      </w:r>
      <w:r w:rsidR="00BB7412" w:rsidRPr="00224C4E">
        <w:rPr>
          <w:sz w:val="22"/>
          <w:szCs w:val="22"/>
        </w:rPr>
        <w:t xml:space="preserve">.  </w:t>
      </w:r>
    </w:p>
    <w:p w:rsidR="009D16B4" w:rsidRPr="00ED7E4E" w:rsidRDefault="009D16B4" w:rsidP="00980344">
      <w:pPr>
        <w:jc w:val="both"/>
        <w:rPr>
          <w:sz w:val="22"/>
          <w:szCs w:val="22"/>
        </w:rPr>
      </w:pPr>
    </w:p>
    <w:p w:rsidR="00A6697B" w:rsidRDefault="009D16B4" w:rsidP="009D16B4">
      <w:pPr>
        <w:jc w:val="both"/>
        <w:rPr>
          <w:sz w:val="22"/>
          <w:szCs w:val="22"/>
        </w:rPr>
      </w:pPr>
      <w:r>
        <w:rPr>
          <w:sz w:val="22"/>
          <w:szCs w:val="22"/>
        </w:rPr>
        <w:t xml:space="preserve">1.3 </w:t>
      </w:r>
      <w:r w:rsidR="00AF3DC5">
        <w:rPr>
          <w:sz w:val="22"/>
          <w:szCs w:val="22"/>
        </w:rPr>
        <w:t>In particular, a</w:t>
      </w:r>
      <w:r>
        <w:rPr>
          <w:sz w:val="22"/>
          <w:szCs w:val="22"/>
        </w:rPr>
        <w:t>s signalled in our consultatio</w:t>
      </w:r>
      <w:r w:rsidR="00A8759E">
        <w:rPr>
          <w:sz w:val="22"/>
          <w:szCs w:val="22"/>
        </w:rPr>
        <w:t xml:space="preserve">n </w:t>
      </w:r>
      <w:r w:rsidR="00B24307">
        <w:rPr>
          <w:sz w:val="22"/>
          <w:szCs w:val="22"/>
        </w:rPr>
        <w:t xml:space="preserve">in autumn </w:t>
      </w:r>
      <w:r w:rsidR="00A8759E">
        <w:rPr>
          <w:sz w:val="22"/>
          <w:szCs w:val="22"/>
        </w:rPr>
        <w:t>last year, we have now</w:t>
      </w:r>
      <w:r>
        <w:rPr>
          <w:sz w:val="22"/>
          <w:szCs w:val="22"/>
        </w:rPr>
        <w:t xml:space="preserve"> devel</w:t>
      </w:r>
      <w:r w:rsidR="00A8759E">
        <w:rPr>
          <w:sz w:val="22"/>
          <w:szCs w:val="22"/>
        </w:rPr>
        <w:t>oped</w:t>
      </w:r>
      <w:r w:rsidR="0002509E">
        <w:rPr>
          <w:sz w:val="22"/>
          <w:szCs w:val="22"/>
        </w:rPr>
        <w:t xml:space="preserve"> locally</w:t>
      </w:r>
      <w:r w:rsidR="00C6555C">
        <w:rPr>
          <w:sz w:val="22"/>
          <w:szCs w:val="22"/>
        </w:rPr>
        <w:t xml:space="preserve"> an amended approach to</w:t>
      </w:r>
      <w:r w:rsidR="005D35FF">
        <w:rPr>
          <w:sz w:val="22"/>
          <w:szCs w:val="22"/>
        </w:rPr>
        <w:t xml:space="preserve"> the</w:t>
      </w:r>
      <w:r>
        <w:rPr>
          <w:sz w:val="22"/>
          <w:szCs w:val="22"/>
        </w:rPr>
        <w:t xml:space="preserve"> funding of </w:t>
      </w:r>
      <w:r w:rsidR="00C6555C">
        <w:rPr>
          <w:sz w:val="22"/>
          <w:szCs w:val="22"/>
        </w:rPr>
        <w:t>the ‘</w:t>
      </w:r>
      <w:r>
        <w:rPr>
          <w:sz w:val="22"/>
          <w:szCs w:val="22"/>
        </w:rPr>
        <w:t>top up</w:t>
      </w:r>
      <w:r w:rsidR="00C6555C">
        <w:rPr>
          <w:sz w:val="22"/>
          <w:szCs w:val="22"/>
        </w:rPr>
        <w:t>’ element for EHCPs</w:t>
      </w:r>
      <w:r w:rsidR="00A6697B">
        <w:rPr>
          <w:sz w:val="22"/>
          <w:szCs w:val="22"/>
        </w:rPr>
        <w:t>, which we</w:t>
      </w:r>
      <w:r w:rsidR="00A8759E">
        <w:rPr>
          <w:sz w:val="22"/>
          <w:szCs w:val="22"/>
        </w:rPr>
        <w:t xml:space="preserve"> </w:t>
      </w:r>
      <w:r w:rsidR="00C6555C">
        <w:rPr>
          <w:sz w:val="22"/>
          <w:szCs w:val="22"/>
        </w:rPr>
        <w:t>propose to adopt from April 2020</w:t>
      </w:r>
      <w:r w:rsidR="00A6697B">
        <w:rPr>
          <w:sz w:val="22"/>
          <w:szCs w:val="22"/>
        </w:rPr>
        <w:t xml:space="preserve">, meaning </w:t>
      </w:r>
      <w:r w:rsidR="00A8759E">
        <w:rPr>
          <w:sz w:val="22"/>
          <w:szCs w:val="22"/>
        </w:rPr>
        <w:t>that</w:t>
      </w:r>
      <w:r w:rsidR="005D35FF">
        <w:rPr>
          <w:sz w:val="22"/>
          <w:szCs w:val="22"/>
        </w:rPr>
        <w:t>, if agreed,</w:t>
      </w:r>
      <w:r w:rsidR="00A8759E">
        <w:rPr>
          <w:sz w:val="22"/>
          <w:szCs w:val="22"/>
        </w:rPr>
        <w:t xml:space="preserve"> a</w:t>
      </w:r>
      <w:r w:rsidR="000366E5">
        <w:rPr>
          <w:sz w:val="22"/>
          <w:szCs w:val="22"/>
        </w:rPr>
        <w:t xml:space="preserve"> new Banded M</w:t>
      </w:r>
      <w:r w:rsidR="00C6555C">
        <w:rPr>
          <w:sz w:val="22"/>
          <w:szCs w:val="22"/>
        </w:rPr>
        <w:t xml:space="preserve">odel will replace our existing </w:t>
      </w:r>
      <w:r w:rsidR="00A6697B">
        <w:rPr>
          <w:sz w:val="22"/>
          <w:szCs w:val="22"/>
        </w:rPr>
        <w:t>‘</w:t>
      </w:r>
      <w:r w:rsidR="00C6555C">
        <w:rPr>
          <w:sz w:val="22"/>
          <w:szCs w:val="22"/>
        </w:rPr>
        <w:t>Ranges Model</w:t>
      </w:r>
      <w:r w:rsidR="00A6697B">
        <w:rPr>
          <w:sz w:val="22"/>
          <w:szCs w:val="22"/>
        </w:rPr>
        <w:t>’</w:t>
      </w:r>
      <w:r w:rsidR="00C6555C">
        <w:rPr>
          <w:sz w:val="22"/>
          <w:szCs w:val="22"/>
        </w:rPr>
        <w:t xml:space="preserve">. </w:t>
      </w:r>
      <w:r w:rsidR="00583686">
        <w:rPr>
          <w:sz w:val="22"/>
          <w:szCs w:val="22"/>
        </w:rPr>
        <w:t xml:space="preserve">This is the most significant of the proposed changes set out in this document. </w:t>
      </w:r>
      <w:r w:rsidR="00C6555C">
        <w:rPr>
          <w:sz w:val="22"/>
          <w:szCs w:val="22"/>
        </w:rPr>
        <w:t xml:space="preserve">This change will affect the funding of </w:t>
      </w:r>
      <w:r w:rsidR="002F0BEC">
        <w:rPr>
          <w:sz w:val="22"/>
          <w:szCs w:val="22"/>
        </w:rPr>
        <w:t xml:space="preserve">all </w:t>
      </w:r>
      <w:r w:rsidR="00A6697B">
        <w:rPr>
          <w:sz w:val="22"/>
          <w:szCs w:val="22"/>
        </w:rPr>
        <w:t xml:space="preserve">existing and new </w:t>
      </w:r>
      <w:r w:rsidR="00C6555C">
        <w:rPr>
          <w:sz w:val="22"/>
          <w:szCs w:val="22"/>
        </w:rPr>
        <w:t xml:space="preserve">EHCPs in all settings, both mainstream and specialist. </w:t>
      </w:r>
      <w:r w:rsidR="00A6697B">
        <w:rPr>
          <w:sz w:val="22"/>
          <w:szCs w:val="22"/>
        </w:rPr>
        <w:t>It is our intention to use</w:t>
      </w:r>
      <w:r w:rsidR="00A6697B" w:rsidRPr="00A6697B">
        <w:rPr>
          <w:sz w:val="22"/>
          <w:szCs w:val="22"/>
        </w:rPr>
        <w:t xml:space="preserve"> this new model as the vehicle</w:t>
      </w:r>
      <w:r w:rsidR="00A6697B">
        <w:rPr>
          <w:sz w:val="22"/>
          <w:szCs w:val="22"/>
        </w:rPr>
        <w:t xml:space="preserve"> through which to</w:t>
      </w:r>
      <w:r w:rsidR="00A6697B" w:rsidRPr="00A6697B">
        <w:rPr>
          <w:sz w:val="22"/>
          <w:szCs w:val="22"/>
        </w:rPr>
        <w:t xml:space="preserve"> release</w:t>
      </w:r>
      <w:r w:rsidR="00A6697B">
        <w:rPr>
          <w:sz w:val="22"/>
          <w:szCs w:val="22"/>
        </w:rPr>
        <w:t xml:space="preserve"> to providers</w:t>
      </w:r>
      <w:r w:rsidR="00A6697B" w:rsidRPr="00A6697B">
        <w:rPr>
          <w:sz w:val="22"/>
          <w:szCs w:val="22"/>
        </w:rPr>
        <w:t xml:space="preserve"> a</w:t>
      </w:r>
      <w:r w:rsidR="00A6697B">
        <w:rPr>
          <w:sz w:val="22"/>
          <w:szCs w:val="22"/>
        </w:rPr>
        <w:t xml:space="preserve"> significant</w:t>
      </w:r>
      <w:r w:rsidR="00A6697B" w:rsidRPr="00A6697B">
        <w:rPr>
          <w:sz w:val="22"/>
          <w:szCs w:val="22"/>
        </w:rPr>
        <w:t xml:space="preserve"> proportion of the additional High Needs Block</w:t>
      </w:r>
      <w:r w:rsidR="00F66A7E">
        <w:rPr>
          <w:sz w:val="22"/>
          <w:szCs w:val="22"/>
        </w:rPr>
        <w:t xml:space="preserve"> funding that is expected</w:t>
      </w:r>
      <w:r w:rsidR="005624C3">
        <w:rPr>
          <w:sz w:val="22"/>
          <w:szCs w:val="22"/>
        </w:rPr>
        <w:t xml:space="preserve"> </w:t>
      </w:r>
      <w:r w:rsidR="00F66A7E">
        <w:rPr>
          <w:sz w:val="22"/>
          <w:szCs w:val="22"/>
        </w:rPr>
        <w:t>to be</w:t>
      </w:r>
      <w:r w:rsidR="009E3D45">
        <w:rPr>
          <w:sz w:val="22"/>
          <w:szCs w:val="22"/>
        </w:rPr>
        <w:t xml:space="preserve"> allocated</w:t>
      </w:r>
      <w:r w:rsidR="00A6697B" w:rsidRPr="00A6697B">
        <w:rPr>
          <w:sz w:val="22"/>
          <w:szCs w:val="22"/>
        </w:rPr>
        <w:t xml:space="preserve"> to Bradford in 2020/21</w:t>
      </w:r>
      <w:r w:rsidR="00F66A7E">
        <w:rPr>
          <w:sz w:val="22"/>
          <w:szCs w:val="22"/>
        </w:rPr>
        <w:t xml:space="preserve">, </w:t>
      </w:r>
      <w:r w:rsidR="00A6697B" w:rsidRPr="00A6697B">
        <w:rPr>
          <w:sz w:val="22"/>
          <w:szCs w:val="22"/>
        </w:rPr>
        <w:t>recognising that the values of top up for EHCPs in Bradford have remained cash flat in recent years.</w:t>
      </w:r>
      <w:r w:rsidR="00A6697B">
        <w:rPr>
          <w:sz w:val="22"/>
          <w:szCs w:val="22"/>
        </w:rPr>
        <w:t xml:space="preserve"> </w:t>
      </w:r>
      <w:r w:rsidR="00AD2DE7">
        <w:rPr>
          <w:sz w:val="22"/>
          <w:szCs w:val="22"/>
        </w:rPr>
        <w:t>Following announcements made prior to the general election, Bradford is set to receive</w:t>
      </w:r>
      <w:r w:rsidR="00A6697B">
        <w:rPr>
          <w:sz w:val="22"/>
          <w:szCs w:val="22"/>
        </w:rPr>
        <w:t xml:space="preserve"> an uplift of £11.5m (17% per pupil) in High Needs </w:t>
      </w:r>
      <w:r w:rsidR="006E40A7">
        <w:rPr>
          <w:sz w:val="22"/>
          <w:szCs w:val="22"/>
        </w:rPr>
        <w:t xml:space="preserve">Block funding in 2020/21, with this increase </w:t>
      </w:r>
      <w:r w:rsidR="0042649D">
        <w:rPr>
          <w:sz w:val="22"/>
          <w:szCs w:val="22"/>
        </w:rPr>
        <w:t xml:space="preserve">proposed to be </w:t>
      </w:r>
      <w:r w:rsidR="006E40A7">
        <w:rPr>
          <w:sz w:val="22"/>
          <w:szCs w:val="22"/>
        </w:rPr>
        <w:t>allocated</w:t>
      </w:r>
      <w:r w:rsidR="00733F29">
        <w:rPr>
          <w:sz w:val="22"/>
          <w:szCs w:val="22"/>
        </w:rPr>
        <w:t xml:space="preserve"> by us</w:t>
      </w:r>
      <w:r w:rsidR="006E40A7">
        <w:rPr>
          <w:sz w:val="22"/>
          <w:szCs w:val="22"/>
        </w:rPr>
        <w:t xml:space="preserve"> to enable the </w:t>
      </w:r>
      <w:r w:rsidR="0089719E">
        <w:rPr>
          <w:sz w:val="22"/>
          <w:szCs w:val="22"/>
        </w:rPr>
        <w:t xml:space="preserve">continued </w:t>
      </w:r>
      <w:r w:rsidR="006E40A7">
        <w:rPr>
          <w:sz w:val="22"/>
          <w:szCs w:val="22"/>
        </w:rPr>
        <w:t>cre</w:t>
      </w:r>
      <w:r w:rsidR="0089719E">
        <w:rPr>
          <w:sz w:val="22"/>
          <w:szCs w:val="22"/>
        </w:rPr>
        <w:t>ation</w:t>
      </w:r>
      <w:r w:rsidR="006E40A7">
        <w:rPr>
          <w:sz w:val="22"/>
          <w:szCs w:val="22"/>
        </w:rPr>
        <w:t xml:space="preserve"> of </w:t>
      </w:r>
      <w:r w:rsidR="0089719E">
        <w:rPr>
          <w:sz w:val="22"/>
          <w:szCs w:val="22"/>
        </w:rPr>
        <w:t xml:space="preserve">more </w:t>
      </w:r>
      <w:r w:rsidR="006E40A7">
        <w:rPr>
          <w:sz w:val="22"/>
          <w:szCs w:val="22"/>
        </w:rPr>
        <w:t>specialist places as well as</w:t>
      </w:r>
      <w:r w:rsidR="0089719E">
        <w:rPr>
          <w:sz w:val="22"/>
          <w:szCs w:val="22"/>
        </w:rPr>
        <w:t xml:space="preserve"> to uplift</w:t>
      </w:r>
      <w:r w:rsidR="006E40A7">
        <w:rPr>
          <w:sz w:val="22"/>
          <w:szCs w:val="22"/>
        </w:rPr>
        <w:t xml:space="preserve"> the delegated high needs funding for mainstream settings and high needs providers</w:t>
      </w:r>
      <w:r w:rsidR="0089719E">
        <w:rPr>
          <w:sz w:val="22"/>
          <w:szCs w:val="22"/>
        </w:rPr>
        <w:t xml:space="preserve"> in response to increased (salaries) costs</w:t>
      </w:r>
      <w:r w:rsidR="006E40A7">
        <w:rPr>
          <w:sz w:val="22"/>
          <w:szCs w:val="22"/>
        </w:rPr>
        <w:t>.</w:t>
      </w:r>
    </w:p>
    <w:p w:rsidR="00AD2DE7" w:rsidRDefault="00AD2DE7" w:rsidP="009D16B4">
      <w:pPr>
        <w:jc w:val="both"/>
        <w:rPr>
          <w:sz w:val="22"/>
          <w:szCs w:val="22"/>
        </w:rPr>
      </w:pPr>
    </w:p>
    <w:p w:rsidR="00AD2DE7" w:rsidRDefault="00AD2DE7" w:rsidP="009D16B4">
      <w:pPr>
        <w:jc w:val="both"/>
        <w:rPr>
          <w:sz w:val="22"/>
          <w:szCs w:val="22"/>
        </w:rPr>
      </w:pPr>
      <w:r>
        <w:rPr>
          <w:sz w:val="22"/>
          <w:szCs w:val="22"/>
        </w:rPr>
        <w:t>1.4 At this point, it is important to emphasise that the way that we propose to move to the new Banded Model</w:t>
      </w:r>
      <w:r w:rsidR="0042649D">
        <w:rPr>
          <w:sz w:val="22"/>
          <w:szCs w:val="22"/>
        </w:rPr>
        <w:t xml:space="preserve"> for the funding of top-up for EHCPs</w:t>
      </w:r>
      <w:r>
        <w:rPr>
          <w:sz w:val="22"/>
          <w:szCs w:val="22"/>
        </w:rPr>
        <w:t xml:space="preserve"> at April 2020 means that all existing EHCPs will see </w:t>
      </w:r>
      <w:r w:rsidR="000366E5">
        <w:rPr>
          <w:sz w:val="22"/>
          <w:szCs w:val="22"/>
        </w:rPr>
        <w:t>uplift</w:t>
      </w:r>
      <w:r>
        <w:rPr>
          <w:sz w:val="22"/>
          <w:szCs w:val="22"/>
        </w:rPr>
        <w:t xml:space="preserve"> in funding. No existing </w:t>
      </w:r>
      <w:r w:rsidR="000366E5">
        <w:rPr>
          <w:sz w:val="22"/>
          <w:szCs w:val="22"/>
        </w:rPr>
        <w:t>EHCPs will</w:t>
      </w:r>
      <w:r>
        <w:rPr>
          <w:sz w:val="22"/>
          <w:szCs w:val="22"/>
        </w:rPr>
        <w:t xml:space="preserve"> </w:t>
      </w:r>
      <w:r w:rsidR="000366E5">
        <w:rPr>
          <w:sz w:val="22"/>
          <w:szCs w:val="22"/>
        </w:rPr>
        <w:t>reduce</w:t>
      </w:r>
      <w:r>
        <w:rPr>
          <w:sz w:val="22"/>
          <w:szCs w:val="22"/>
        </w:rPr>
        <w:t xml:space="preserve"> in value as a result of funding model change.</w:t>
      </w:r>
    </w:p>
    <w:p w:rsidR="00A6697B" w:rsidRDefault="00A6697B" w:rsidP="009D16B4">
      <w:pPr>
        <w:jc w:val="both"/>
        <w:rPr>
          <w:sz w:val="22"/>
          <w:szCs w:val="22"/>
        </w:rPr>
      </w:pPr>
    </w:p>
    <w:p w:rsidR="00AD2DE7" w:rsidRDefault="00A6697B" w:rsidP="009D16B4">
      <w:pPr>
        <w:jc w:val="both"/>
        <w:rPr>
          <w:sz w:val="22"/>
          <w:szCs w:val="22"/>
        </w:rPr>
      </w:pPr>
      <w:r>
        <w:rPr>
          <w:sz w:val="22"/>
          <w:szCs w:val="22"/>
        </w:rPr>
        <w:t>1.</w:t>
      </w:r>
      <w:r w:rsidR="000366E5">
        <w:rPr>
          <w:sz w:val="22"/>
          <w:szCs w:val="22"/>
        </w:rPr>
        <w:t>5</w:t>
      </w:r>
      <w:r w:rsidR="00A8759E">
        <w:rPr>
          <w:sz w:val="22"/>
          <w:szCs w:val="22"/>
        </w:rPr>
        <w:t xml:space="preserve"> </w:t>
      </w:r>
      <w:r w:rsidR="00C6555C">
        <w:rPr>
          <w:sz w:val="22"/>
          <w:szCs w:val="22"/>
        </w:rPr>
        <w:t>In addition</w:t>
      </w:r>
      <w:r w:rsidR="00AD2DE7">
        <w:rPr>
          <w:sz w:val="22"/>
          <w:szCs w:val="22"/>
        </w:rPr>
        <w:t xml:space="preserve"> to the </w:t>
      </w:r>
      <w:r w:rsidR="00C82A95">
        <w:rPr>
          <w:sz w:val="22"/>
          <w:szCs w:val="22"/>
        </w:rPr>
        <w:t>move</w:t>
      </w:r>
      <w:r w:rsidR="00AD2DE7">
        <w:rPr>
          <w:sz w:val="22"/>
          <w:szCs w:val="22"/>
        </w:rPr>
        <w:t xml:space="preserve"> to the</w:t>
      </w:r>
      <w:r w:rsidR="00C82A95">
        <w:rPr>
          <w:sz w:val="22"/>
          <w:szCs w:val="22"/>
        </w:rPr>
        <w:t xml:space="preserve"> new</w:t>
      </w:r>
      <w:r w:rsidR="00AD2DE7">
        <w:rPr>
          <w:sz w:val="22"/>
          <w:szCs w:val="22"/>
        </w:rPr>
        <w:t xml:space="preserve"> Banded Model</w:t>
      </w:r>
      <w:r w:rsidR="00C6555C">
        <w:rPr>
          <w:sz w:val="22"/>
          <w:szCs w:val="22"/>
        </w:rPr>
        <w:t>, we propose</w:t>
      </w:r>
      <w:r w:rsidR="00245E27">
        <w:rPr>
          <w:sz w:val="22"/>
          <w:szCs w:val="22"/>
        </w:rPr>
        <w:t xml:space="preserve"> in this document</w:t>
      </w:r>
      <w:r w:rsidR="00C6555C">
        <w:rPr>
          <w:sz w:val="22"/>
          <w:szCs w:val="22"/>
        </w:rPr>
        <w:t xml:space="preserve"> </w:t>
      </w:r>
      <w:r w:rsidR="000366E5">
        <w:rPr>
          <w:sz w:val="22"/>
          <w:szCs w:val="22"/>
        </w:rPr>
        <w:t>to</w:t>
      </w:r>
    </w:p>
    <w:p w:rsidR="00AD2DE7" w:rsidRDefault="00AD2DE7" w:rsidP="009D16B4">
      <w:pPr>
        <w:jc w:val="both"/>
        <w:rPr>
          <w:sz w:val="22"/>
          <w:szCs w:val="22"/>
        </w:rPr>
      </w:pPr>
    </w:p>
    <w:p w:rsidR="000366E5" w:rsidRDefault="000366E5" w:rsidP="00C15620">
      <w:pPr>
        <w:pStyle w:val="ListParagraph"/>
        <w:numPr>
          <w:ilvl w:val="0"/>
          <w:numId w:val="11"/>
        </w:numPr>
        <w:jc w:val="both"/>
        <w:rPr>
          <w:sz w:val="22"/>
          <w:szCs w:val="22"/>
        </w:rPr>
      </w:pPr>
      <w:r>
        <w:rPr>
          <w:sz w:val="22"/>
          <w:szCs w:val="22"/>
        </w:rPr>
        <w:t>Establish a new Day-Rate</w:t>
      </w:r>
      <w:r w:rsidR="00C6555C" w:rsidRPr="00AD2DE7">
        <w:rPr>
          <w:sz w:val="22"/>
          <w:szCs w:val="22"/>
        </w:rPr>
        <w:t xml:space="preserve"> model for </w:t>
      </w:r>
      <w:r w:rsidR="00245E27">
        <w:rPr>
          <w:sz w:val="22"/>
          <w:szCs w:val="22"/>
        </w:rPr>
        <w:t xml:space="preserve">the funding of </w:t>
      </w:r>
      <w:r>
        <w:rPr>
          <w:sz w:val="22"/>
          <w:szCs w:val="22"/>
        </w:rPr>
        <w:t>our Pupil Referral Units for the delivery of provision for pupils that are permanently excluded.</w:t>
      </w:r>
    </w:p>
    <w:p w:rsidR="000B4EA2" w:rsidRDefault="000B4EA2" w:rsidP="000B4EA2">
      <w:pPr>
        <w:pStyle w:val="ListParagraph"/>
        <w:jc w:val="both"/>
        <w:rPr>
          <w:sz w:val="22"/>
          <w:szCs w:val="22"/>
        </w:rPr>
      </w:pPr>
    </w:p>
    <w:p w:rsidR="000366E5" w:rsidRDefault="000366E5" w:rsidP="00C15620">
      <w:pPr>
        <w:pStyle w:val="ListParagraph"/>
        <w:numPr>
          <w:ilvl w:val="0"/>
          <w:numId w:val="11"/>
        </w:numPr>
        <w:jc w:val="both"/>
        <w:rPr>
          <w:sz w:val="22"/>
          <w:szCs w:val="22"/>
        </w:rPr>
      </w:pPr>
      <w:r>
        <w:rPr>
          <w:sz w:val="22"/>
          <w:szCs w:val="22"/>
        </w:rPr>
        <w:t>Enhance the value of split site funding for speci</w:t>
      </w:r>
      <w:r w:rsidR="00F97748">
        <w:rPr>
          <w:sz w:val="22"/>
          <w:szCs w:val="22"/>
        </w:rPr>
        <w:t>al schools operating across</w:t>
      </w:r>
      <w:r>
        <w:rPr>
          <w:sz w:val="22"/>
          <w:szCs w:val="22"/>
        </w:rPr>
        <w:t xml:space="preserve"> satellite sites.</w:t>
      </w:r>
    </w:p>
    <w:p w:rsidR="000B4EA2" w:rsidRDefault="000B4EA2" w:rsidP="000B4EA2">
      <w:pPr>
        <w:pStyle w:val="ListParagraph"/>
        <w:jc w:val="both"/>
        <w:rPr>
          <w:sz w:val="22"/>
          <w:szCs w:val="22"/>
        </w:rPr>
      </w:pPr>
    </w:p>
    <w:p w:rsidR="000366E5" w:rsidRDefault="000366E5" w:rsidP="00C15620">
      <w:pPr>
        <w:pStyle w:val="ListParagraph"/>
        <w:numPr>
          <w:ilvl w:val="0"/>
          <w:numId w:val="11"/>
        </w:numPr>
        <w:jc w:val="both"/>
        <w:rPr>
          <w:sz w:val="22"/>
          <w:szCs w:val="22"/>
        </w:rPr>
      </w:pPr>
      <w:r>
        <w:rPr>
          <w:sz w:val="22"/>
          <w:szCs w:val="22"/>
        </w:rPr>
        <w:t>Add into the funding model for Early Years Enhanced Provisions i</w:t>
      </w:r>
      <w:r w:rsidR="0006518D">
        <w:rPr>
          <w:sz w:val="22"/>
          <w:szCs w:val="22"/>
        </w:rPr>
        <w:t>n maintained nursery schools a</w:t>
      </w:r>
      <w:r>
        <w:rPr>
          <w:sz w:val="22"/>
          <w:szCs w:val="22"/>
        </w:rPr>
        <w:t xml:space="preserve"> small setting protection factor.</w:t>
      </w:r>
    </w:p>
    <w:p w:rsidR="000B4EA2" w:rsidRDefault="000B4EA2" w:rsidP="000B4EA2">
      <w:pPr>
        <w:pStyle w:val="ListParagraph"/>
        <w:jc w:val="both"/>
        <w:rPr>
          <w:sz w:val="22"/>
          <w:szCs w:val="22"/>
        </w:rPr>
      </w:pPr>
    </w:p>
    <w:p w:rsidR="000366E5" w:rsidRDefault="000366E5" w:rsidP="00C15620">
      <w:pPr>
        <w:pStyle w:val="ListParagraph"/>
        <w:numPr>
          <w:ilvl w:val="0"/>
          <w:numId w:val="11"/>
        </w:numPr>
        <w:jc w:val="both"/>
        <w:rPr>
          <w:sz w:val="22"/>
          <w:szCs w:val="22"/>
        </w:rPr>
      </w:pPr>
      <w:r>
        <w:rPr>
          <w:sz w:val="22"/>
          <w:szCs w:val="22"/>
        </w:rPr>
        <w:t>Amend</w:t>
      </w:r>
      <w:r w:rsidR="001062C5">
        <w:rPr>
          <w:sz w:val="22"/>
          <w:szCs w:val="22"/>
        </w:rPr>
        <w:t xml:space="preserve"> and clarify</w:t>
      </w:r>
      <w:r>
        <w:rPr>
          <w:sz w:val="22"/>
          <w:szCs w:val="22"/>
        </w:rPr>
        <w:t xml:space="preserve"> how the cost of specialist equipment is shared between schools</w:t>
      </w:r>
      <w:r w:rsidR="001062C5">
        <w:rPr>
          <w:sz w:val="22"/>
          <w:szCs w:val="22"/>
        </w:rPr>
        <w:t xml:space="preserve"> / providers</w:t>
      </w:r>
      <w:r>
        <w:rPr>
          <w:sz w:val="22"/>
          <w:szCs w:val="22"/>
        </w:rPr>
        <w:t xml:space="preserve"> and the Local Authority, meaning</w:t>
      </w:r>
      <w:r w:rsidR="001062C5">
        <w:rPr>
          <w:sz w:val="22"/>
          <w:szCs w:val="22"/>
        </w:rPr>
        <w:t xml:space="preserve"> especially</w:t>
      </w:r>
      <w:r>
        <w:rPr>
          <w:sz w:val="22"/>
          <w:szCs w:val="22"/>
        </w:rPr>
        <w:t xml:space="preserve"> that </w:t>
      </w:r>
      <w:r w:rsidR="00C82A95">
        <w:rPr>
          <w:sz w:val="22"/>
          <w:szCs w:val="22"/>
        </w:rPr>
        <w:t xml:space="preserve">a) </w:t>
      </w:r>
      <w:r w:rsidR="000B4EA2">
        <w:rPr>
          <w:sz w:val="22"/>
          <w:szCs w:val="22"/>
        </w:rPr>
        <w:t>special schools will</w:t>
      </w:r>
      <w:r>
        <w:rPr>
          <w:sz w:val="22"/>
          <w:szCs w:val="22"/>
        </w:rPr>
        <w:t xml:space="preserve"> be able to access support for the cost </w:t>
      </w:r>
      <w:r>
        <w:rPr>
          <w:sz w:val="22"/>
          <w:szCs w:val="22"/>
        </w:rPr>
        <w:lastRenderedPageBreak/>
        <w:t xml:space="preserve">of equipment, and </w:t>
      </w:r>
      <w:r w:rsidR="00C82A95">
        <w:rPr>
          <w:sz w:val="22"/>
          <w:szCs w:val="22"/>
        </w:rPr>
        <w:t>b)</w:t>
      </w:r>
      <w:r>
        <w:rPr>
          <w:sz w:val="22"/>
          <w:szCs w:val="22"/>
        </w:rPr>
        <w:t xml:space="preserve"> schools</w:t>
      </w:r>
      <w:r w:rsidR="001062C5">
        <w:rPr>
          <w:sz w:val="22"/>
          <w:szCs w:val="22"/>
        </w:rPr>
        <w:t xml:space="preserve"> / providers</w:t>
      </w:r>
      <w:r w:rsidR="00C82A95">
        <w:rPr>
          <w:sz w:val="22"/>
          <w:szCs w:val="22"/>
        </w:rPr>
        <w:t xml:space="preserve"> will be </w:t>
      </w:r>
      <w:r w:rsidR="005624C3">
        <w:rPr>
          <w:sz w:val="22"/>
          <w:szCs w:val="22"/>
        </w:rPr>
        <w:t>required to</w:t>
      </w:r>
      <w:r w:rsidR="00F97748">
        <w:rPr>
          <w:sz w:val="22"/>
          <w:szCs w:val="22"/>
        </w:rPr>
        <w:t xml:space="preserve"> meet the first £1,000 of</w:t>
      </w:r>
      <w:r w:rsidR="005624C3">
        <w:rPr>
          <w:sz w:val="22"/>
          <w:szCs w:val="22"/>
        </w:rPr>
        <w:t xml:space="preserve"> the cost</w:t>
      </w:r>
      <w:r w:rsidR="001E15B3">
        <w:rPr>
          <w:sz w:val="22"/>
          <w:szCs w:val="22"/>
        </w:rPr>
        <w:t xml:space="preserve"> of all equipment</w:t>
      </w:r>
      <w:r w:rsidR="000B4EA2">
        <w:rPr>
          <w:sz w:val="22"/>
          <w:szCs w:val="22"/>
        </w:rPr>
        <w:t>,</w:t>
      </w:r>
      <w:r w:rsidR="00C82A95">
        <w:rPr>
          <w:sz w:val="22"/>
          <w:szCs w:val="22"/>
        </w:rPr>
        <w:t xml:space="preserve"> subject to a</w:t>
      </w:r>
      <w:r>
        <w:rPr>
          <w:sz w:val="22"/>
          <w:szCs w:val="22"/>
        </w:rPr>
        <w:t xml:space="preserve"> ‘reasonable</w:t>
      </w:r>
      <w:r w:rsidR="005624C3">
        <w:rPr>
          <w:sz w:val="22"/>
          <w:szCs w:val="22"/>
        </w:rPr>
        <w:t>ness</w:t>
      </w:r>
      <w:r>
        <w:rPr>
          <w:sz w:val="22"/>
          <w:szCs w:val="22"/>
        </w:rPr>
        <w:t xml:space="preserve"> cost assessment</w:t>
      </w:r>
      <w:r w:rsidR="00C82A95">
        <w:rPr>
          <w:sz w:val="22"/>
          <w:szCs w:val="22"/>
        </w:rPr>
        <w:t>’ made by</w:t>
      </w:r>
      <w:r>
        <w:rPr>
          <w:sz w:val="22"/>
          <w:szCs w:val="22"/>
        </w:rPr>
        <w:t xml:space="preserve"> the SEND Panel.</w:t>
      </w:r>
      <w:r w:rsidR="00017315">
        <w:rPr>
          <w:sz w:val="22"/>
          <w:szCs w:val="22"/>
        </w:rPr>
        <w:t xml:space="preserve"> </w:t>
      </w:r>
    </w:p>
    <w:p w:rsidR="00C6555C" w:rsidRDefault="00C6555C" w:rsidP="009D16B4">
      <w:pPr>
        <w:jc w:val="both"/>
        <w:rPr>
          <w:sz w:val="22"/>
          <w:szCs w:val="22"/>
        </w:rPr>
      </w:pPr>
    </w:p>
    <w:p w:rsidR="00C6555C" w:rsidRDefault="00C6555C" w:rsidP="009D16B4">
      <w:pPr>
        <w:jc w:val="both"/>
        <w:rPr>
          <w:sz w:val="22"/>
          <w:szCs w:val="22"/>
        </w:rPr>
      </w:pPr>
      <w:r>
        <w:rPr>
          <w:sz w:val="22"/>
          <w:szCs w:val="22"/>
        </w:rPr>
        <w:t>1.</w:t>
      </w:r>
      <w:r w:rsidR="000B4EA2">
        <w:rPr>
          <w:sz w:val="22"/>
          <w:szCs w:val="22"/>
        </w:rPr>
        <w:t>6</w:t>
      </w:r>
      <w:r>
        <w:rPr>
          <w:sz w:val="22"/>
          <w:szCs w:val="22"/>
        </w:rPr>
        <w:t xml:space="preserve"> </w:t>
      </w:r>
      <w:r w:rsidR="005624C3">
        <w:rPr>
          <w:sz w:val="22"/>
          <w:szCs w:val="22"/>
        </w:rPr>
        <w:t>As we set out in our Schools Block consultation, w</w:t>
      </w:r>
      <w:r w:rsidR="00733F29" w:rsidRPr="00230BD3">
        <w:rPr>
          <w:sz w:val="22"/>
          <w:szCs w:val="22"/>
        </w:rPr>
        <w:t>e are minded not to propose any amendments</w:t>
      </w:r>
      <w:r w:rsidR="00733F29">
        <w:rPr>
          <w:sz w:val="22"/>
          <w:szCs w:val="22"/>
        </w:rPr>
        <w:t xml:space="preserve"> in 2020/21</w:t>
      </w:r>
      <w:r w:rsidR="00733F29" w:rsidRPr="00230BD3">
        <w:rPr>
          <w:sz w:val="22"/>
          <w:szCs w:val="22"/>
        </w:rPr>
        <w:t xml:space="preserve"> to our existing notional SEND and SEND Floor arrangements</w:t>
      </w:r>
      <w:r w:rsidR="00733F29">
        <w:rPr>
          <w:sz w:val="22"/>
          <w:szCs w:val="22"/>
        </w:rPr>
        <w:t xml:space="preserve"> for mainstream primary and secondary schools and academies. This means that we would</w:t>
      </w:r>
      <w:r w:rsidR="00733F29" w:rsidRPr="00C02F1D">
        <w:rPr>
          <w:sz w:val="22"/>
          <w:szCs w:val="22"/>
        </w:rPr>
        <w:t xml:space="preserve"> </w:t>
      </w:r>
      <w:r w:rsidR="00733F29">
        <w:rPr>
          <w:sz w:val="22"/>
          <w:szCs w:val="22"/>
        </w:rPr>
        <w:t xml:space="preserve">continue to protect SEND Floor allocations, </w:t>
      </w:r>
      <w:r w:rsidR="00733F29" w:rsidRPr="00C02F1D">
        <w:rPr>
          <w:sz w:val="22"/>
          <w:szCs w:val="22"/>
        </w:rPr>
        <w:t>by guaranteeing that all schools would receive at least</w:t>
      </w:r>
      <w:r w:rsidR="00733F29">
        <w:rPr>
          <w:sz w:val="22"/>
          <w:szCs w:val="22"/>
        </w:rPr>
        <w:t xml:space="preserve"> the same cash allocation</w:t>
      </w:r>
      <w:r w:rsidR="00733F29" w:rsidRPr="00C02F1D">
        <w:rPr>
          <w:sz w:val="22"/>
          <w:szCs w:val="22"/>
        </w:rPr>
        <w:t xml:space="preserve"> as they did in 2017/18.</w:t>
      </w:r>
      <w:r w:rsidR="00D32B81">
        <w:rPr>
          <w:sz w:val="22"/>
          <w:szCs w:val="22"/>
        </w:rPr>
        <w:t xml:space="preserve"> Please see A</w:t>
      </w:r>
      <w:r w:rsidR="000B4EA2">
        <w:rPr>
          <w:sz w:val="22"/>
          <w:szCs w:val="22"/>
        </w:rPr>
        <w:t>ppendix 4.</w:t>
      </w:r>
      <w:r w:rsidR="0089719E">
        <w:rPr>
          <w:sz w:val="22"/>
          <w:szCs w:val="22"/>
        </w:rPr>
        <w:t xml:space="preserve"> We will</w:t>
      </w:r>
      <w:r w:rsidR="000B4EA2">
        <w:rPr>
          <w:sz w:val="22"/>
          <w:szCs w:val="22"/>
        </w:rPr>
        <w:t xml:space="preserve"> continue to</w:t>
      </w:r>
      <w:r w:rsidR="0089719E">
        <w:rPr>
          <w:sz w:val="22"/>
          <w:szCs w:val="22"/>
        </w:rPr>
        <w:t xml:space="preserve"> keep this position under review.</w:t>
      </w:r>
    </w:p>
    <w:p w:rsidR="00733F29" w:rsidRDefault="00733F29" w:rsidP="009D16B4">
      <w:pPr>
        <w:jc w:val="both"/>
        <w:rPr>
          <w:sz w:val="22"/>
          <w:szCs w:val="22"/>
        </w:rPr>
      </w:pPr>
    </w:p>
    <w:p w:rsidR="009D16B4" w:rsidRPr="00977F2C" w:rsidRDefault="000B4EA2" w:rsidP="009D16B4">
      <w:pPr>
        <w:jc w:val="both"/>
        <w:rPr>
          <w:sz w:val="22"/>
          <w:szCs w:val="22"/>
        </w:rPr>
      </w:pPr>
      <w:r w:rsidRPr="00977F2C">
        <w:rPr>
          <w:sz w:val="22"/>
          <w:szCs w:val="22"/>
        </w:rPr>
        <w:t>1.7</w:t>
      </w:r>
      <w:r w:rsidR="00A6697B" w:rsidRPr="00977F2C">
        <w:rPr>
          <w:sz w:val="22"/>
          <w:szCs w:val="22"/>
        </w:rPr>
        <w:t xml:space="preserve"> </w:t>
      </w:r>
      <w:r w:rsidRPr="00977F2C">
        <w:rPr>
          <w:sz w:val="22"/>
          <w:szCs w:val="22"/>
        </w:rPr>
        <w:t xml:space="preserve">The </w:t>
      </w:r>
      <w:r w:rsidR="00D45A5D">
        <w:rPr>
          <w:sz w:val="22"/>
          <w:szCs w:val="22"/>
        </w:rPr>
        <w:t xml:space="preserve">funding model </w:t>
      </w:r>
      <w:r w:rsidRPr="00977F2C">
        <w:rPr>
          <w:sz w:val="22"/>
          <w:szCs w:val="22"/>
        </w:rPr>
        <w:t xml:space="preserve">changes we propose are </w:t>
      </w:r>
      <w:r w:rsidR="00A6697B" w:rsidRPr="00977F2C">
        <w:rPr>
          <w:sz w:val="22"/>
          <w:szCs w:val="22"/>
        </w:rPr>
        <w:t>made in context of</w:t>
      </w:r>
      <w:r w:rsidR="00977F2C" w:rsidRPr="00977F2C">
        <w:rPr>
          <w:sz w:val="22"/>
          <w:szCs w:val="22"/>
        </w:rPr>
        <w:t xml:space="preserve"> the following wider</w:t>
      </w:r>
      <w:r w:rsidRPr="00977F2C">
        <w:rPr>
          <w:sz w:val="22"/>
          <w:szCs w:val="22"/>
        </w:rPr>
        <w:t xml:space="preserve"> structural changes</w:t>
      </w:r>
    </w:p>
    <w:p w:rsidR="009D16B4" w:rsidRPr="00977F2C" w:rsidRDefault="009D16B4" w:rsidP="009D16B4">
      <w:pPr>
        <w:jc w:val="both"/>
        <w:rPr>
          <w:sz w:val="22"/>
          <w:szCs w:val="22"/>
        </w:rPr>
      </w:pPr>
    </w:p>
    <w:p w:rsidR="009D16B4" w:rsidRPr="00977F2C" w:rsidRDefault="000B4EA2" w:rsidP="00C15620">
      <w:pPr>
        <w:pStyle w:val="ListParagraph"/>
        <w:numPr>
          <w:ilvl w:val="0"/>
          <w:numId w:val="9"/>
        </w:numPr>
        <w:jc w:val="both"/>
        <w:rPr>
          <w:sz w:val="22"/>
          <w:szCs w:val="22"/>
        </w:rPr>
      </w:pPr>
      <w:r w:rsidRPr="00977F2C">
        <w:rPr>
          <w:sz w:val="22"/>
          <w:szCs w:val="22"/>
        </w:rPr>
        <w:t xml:space="preserve">The continued creation of additional specialist places in Bradford. A list of planned commissioned places by setting is provided at </w:t>
      </w:r>
      <w:r w:rsidR="00D32B81">
        <w:rPr>
          <w:sz w:val="22"/>
          <w:szCs w:val="22"/>
        </w:rPr>
        <w:t>A</w:t>
      </w:r>
      <w:r w:rsidRPr="00977F2C">
        <w:rPr>
          <w:sz w:val="22"/>
          <w:szCs w:val="22"/>
        </w:rPr>
        <w:t>ppendix 5.</w:t>
      </w:r>
    </w:p>
    <w:p w:rsidR="000B4EA2" w:rsidRPr="00977F2C" w:rsidRDefault="000B4EA2" w:rsidP="000B4EA2">
      <w:pPr>
        <w:pStyle w:val="ListParagraph"/>
        <w:jc w:val="both"/>
        <w:rPr>
          <w:sz w:val="22"/>
          <w:szCs w:val="22"/>
        </w:rPr>
      </w:pPr>
    </w:p>
    <w:p w:rsidR="000B4EA2" w:rsidRPr="00977F2C" w:rsidRDefault="000B4EA2" w:rsidP="00C15620">
      <w:pPr>
        <w:pStyle w:val="ListParagraph"/>
        <w:numPr>
          <w:ilvl w:val="0"/>
          <w:numId w:val="9"/>
        </w:numPr>
        <w:jc w:val="both"/>
        <w:rPr>
          <w:sz w:val="22"/>
          <w:szCs w:val="22"/>
        </w:rPr>
      </w:pPr>
      <w:r w:rsidRPr="00977F2C">
        <w:rPr>
          <w:sz w:val="22"/>
          <w:szCs w:val="22"/>
        </w:rPr>
        <w:t>The development and expansion of new Local Authority-led resourced provisions in mainstream primary and secondary schools and academies.</w:t>
      </w:r>
    </w:p>
    <w:p w:rsidR="000B4EA2" w:rsidRPr="00977F2C" w:rsidRDefault="000B4EA2" w:rsidP="000B4EA2">
      <w:pPr>
        <w:pStyle w:val="ListParagraph"/>
        <w:jc w:val="both"/>
        <w:rPr>
          <w:sz w:val="22"/>
          <w:szCs w:val="22"/>
        </w:rPr>
      </w:pPr>
    </w:p>
    <w:p w:rsidR="000B4EA2" w:rsidRPr="00977F2C" w:rsidRDefault="000B4EA2" w:rsidP="00C15620">
      <w:pPr>
        <w:pStyle w:val="ListParagraph"/>
        <w:numPr>
          <w:ilvl w:val="0"/>
          <w:numId w:val="9"/>
        </w:numPr>
        <w:jc w:val="both"/>
        <w:rPr>
          <w:sz w:val="22"/>
          <w:szCs w:val="22"/>
        </w:rPr>
      </w:pPr>
      <w:r w:rsidRPr="00977F2C">
        <w:rPr>
          <w:sz w:val="22"/>
          <w:szCs w:val="22"/>
        </w:rPr>
        <w:t>The completion of the ‘restructuring’ of our PRU provision, where our PRUs</w:t>
      </w:r>
      <w:r w:rsidR="00D45A5D">
        <w:rPr>
          <w:sz w:val="22"/>
          <w:szCs w:val="22"/>
        </w:rPr>
        <w:t xml:space="preserve"> going forward</w:t>
      </w:r>
      <w:r w:rsidRPr="00977F2C">
        <w:rPr>
          <w:sz w:val="22"/>
          <w:szCs w:val="22"/>
        </w:rPr>
        <w:t xml:space="preserve"> deliver provision for pupils permanent excluded.</w:t>
      </w:r>
    </w:p>
    <w:p w:rsidR="000B4EA2" w:rsidRPr="00977F2C" w:rsidRDefault="000B4EA2" w:rsidP="000B4EA2">
      <w:pPr>
        <w:pStyle w:val="ListParagraph"/>
        <w:jc w:val="both"/>
        <w:rPr>
          <w:sz w:val="22"/>
          <w:szCs w:val="22"/>
        </w:rPr>
      </w:pPr>
    </w:p>
    <w:p w:rsidR="000B4EA2" w:rsidRPr="00977F2C" w:rsidRDefault="000B4EA2" w:rsidP="00C15620">
      <w:pPr>
        <w:pStyle w:val="ListParagraph"/>
        <w:numPr>
          <w:ilvl w:val="0"/>
          <w:numId w:val="9"/>
        </w:numPr>
        <w:jc w:val="both"/>
        <w:rPr>
          <w:sz w:val="22"/>
          <w:szCs w:val="22"/>
        </w:rPr>
      </w:pPr>
      <w:r w:rsidRPr="00977F2C">
        <w:rPr>
          <w:sz w:val="22"/>
          <w:szCs w:val="22"/>
        </w:rPr>
        <w:t xml:space="preserve">The completion of the re-alignment of </w:t>
      </w:r>
      <w:r w:rsidR="00D45A5D">
        <w:rPr>
          <w:sz w:val="22"/>
          <w:szCs w:val="22"/>
        </w:rPr>
        <w:t>responsibility</w:t>
      </w:r>
      <w:r w:rsidRPr="00977F2C">
        <w:rPr>
          <w:sz w:val="22"/>
          <w:szCs w:val="22"/>
        </w:rPr>
        <w:t xml:space="preserve"> between the High Needs Block and schools for the funding of alternative provision that is commissioned by schools. The High Needs Block’s funding of District PRU and the Primary Behaviour Centres ceases at 31 August 2020.</w:t>
      </w:r>
    </w:p>
    <w:p w:rsidR="000B4EA2" w:rsidRPr="00977F2C" w:rsidRDefault="000B4EA2" w:rsidP="000B4EA2">
      <w:pPr>
        <w:pStyle w:val="ListParagraph"/>
        <w:jc w:val="both"/>
        <w:rPr>
          <w:sz w:val="22"/>
          <w:szCs w:val="22"/>
        </w:rPr>
      </w:pPr>
    </w:p>
    <w:p w:rsidR="00A6697B" w:rsidRPr="00977F2C" w:rsidRDefault="000B4EA2" w:rsidP="00C15620">
      <w:pPr>
        <w:pStyle w:val="ListParagraph"/>
        <w:numPr>
          <w:ilvl w:val="0"/>
          <w:numId w:val="9"/>
        </w:numPr>
        <w:jc w:val="both"/>
        <w:rPr>
          <w:sz w:val="22"/>
          <w:szCs w:val="22"/>
        </w:rPr>
      </w:pPr>
      <w:r w:rsidRPr="00977F2C">
        <w:rPr>
          <w:sz w:val="22"/>
          <w:szCs w:val="22"/>
        </w:rPr>
        <w:t>The amalgamation of Bradford’s hospital education, Tracks and medical home tuition provision into a single Local Authority managed service.</w:t>
      </w:r>
    </w:p>
    <w:p w:rsidR="00E52CCC" w:rsidRDefault="00E52CCC" w:rsidP="00980344">
      <w:pPr>
        <w:jc w:val="both"/>
        <w:rPr>
          <w:sz w:val="22"/>
          <w:szCs w:val="22"/>
        </w:rPr>
      </w:pPr>
    </w:p>
    <w:p w:rsidR="003B2D3D" w:rsidRDefault="00977F2C" w:rsidP="00980344">
      <w:pPr>
        <w:jc w:val="both"/>
        <w:rPr>
          <w:sz w:val="22"/>
          <w:szCs w:val="22"/>
        </w:rPr>
      </w:pPr>
      <w:r>
        <w:rPr>
          <w:b/>
          <w:sz w:val="22"/>
          <w:szCs w:val="22"/>
        </w:rPr>
        <w:t>1.8</w:t>
      </w:r>
      <w:r w:rsidR="003B2D3D">
        <w:rPr>
          <w:b/>
          <w:sz w:val="22"/>
          <w:szCs w:val="22"/>
        </w:rPr>
        <w:t xml:space="preserve"> </w:t>
      </w:r>
      <w:r w:rsidR="003B2D3D" w:rsidRPr="00AA2525">
        <w:rPr>
          <w:b/>
          <w:sz w:val="22"/>
          <w:szCs w:val="22"/>
        </w:rPr>
        <w:t>The deadline for re</w:t>
      </w:r>
      <w:r w:rsidR="0085223B">
        <w:rPr>
          <w:b/>
          <w:sz w:val="22"/>
          <w:szCs w:val="22"/>
        </w:rPr>
        <w:t>sponses t</w:t>
      </w:r>
      <w:r w:rsidR="00F027AB">
        <w:rPr>
          <w:b/>
          <w:sz w:val="22"/>
          <w:szCs w:val="22"/>
        </w:rPr>
        <w:t xml:space="preserve">o this </w:t>
      </w:r>
      <w:r w:rsidR="00F027AB" w:rsidRPr="00224C4E">
        <w:rPr>
          <w:b/>
          <w:sz w:val="22"/>
          <w:szCs w:val="22"/>
        </w:rPr>
        <w:t xml:space="preserve">consultation is </w:t>
      </w:r>
      <w:r w:rsidRPr="00224C4E">
        <w:rPr>
          <w:b/>
          <w:sz w:val="22"/>
          <w:szCs w:val="22"/>
        </w:rPr>
        <w:t xml:space="preserve">Tuesday </w:t>
      </w:r>
      <w:r w:rsidR="00081239" w:rsidRPr="00224C4E">
        <w:rPr>
          <w:b/>
          <w:sz w:val="22"/>
          <w:szCs w:val="22"/>
        </w:rPr>
        <w:t>4 February 2020</w:t>
      </w:r>
      <w:r w:rsidR="003B2D3D" w:rsidRPr="00224C4E">
        <w:rPr>
          <w:b/>
          <w:sz w:val="22"/>
          <w:szCs w:val="22"/>
        </w:rPr>
        <w:t xml:space="preserve">. Please </w:t>
      </w:r>
      <w:r w:rsidR="003B2D3D" w:rsidRPr="00AA2525">
        <w:rPr>
          <w:b/>
          <w:sz w:val="22"/>
          <w:szCs w:val="22"/>
        </w:rPr>
        <w:t xml:space="preserve">address all questions and responses to Andrew Redding 01274 432678 </w:t>
      </w:r>
      <w:hyperlink r:id="rId11" w:history="1">
        <w:r w:rsidR="003B2D3D" w:rsidRPr="00AA2525">
          <w:rPr>
            <w:rStyle w:val="Hyperlink"/>
            <w:b/>
            <w:sz w:val="22"/>
            <w:szCs w:val="22"/>
          </w:rPr>
          <w:t>andrew.redding@bradford.gov.uk</w:t>
        </w:r>
      </w:hyperlink>
      <w:r w:rsidR="003B2D3D" w:rsidRPr="00AA2525">
        <w:rPr>
          <w:b/>
          <w:sz w:val="22"/>
          <w:szCs w:val="22"/>
        </w:rPr>
        <w:t xml:space="preserve">. A response form is </w:t>
      </w:r>
      <w:r w:rsidR="003B2D3D">
        <w:rPr>
          <w:b/>
          <w:sz w:val="22"/>
          <w:szCs w:val="22"/>
        </w:rPr>
        <w:t xml:space="preserve">included </w:t>
      </w:r>
      <w:r w:rsidR="003B2D3D" w:rsidRPr="005F3CBE">
        <w:rPr>
          <w:b/>
          <w:sz w:val="22"/>
          <w:szCs w:val="22"/>
        </w:rPr>
        <w:t xml:space="preserve">at </w:t>
      </w:r>
      <w:r w:rsidR="003B2D3D" w:rsidRPr="00977F2C">
        <w:rPr>
          <w:b/>
          <w:sz w:val="22"/>
          <w:szCs w:val="22"/>
        </w:rPr>
        <w:t xml:space="preserve">Appendix </w:t>
      </w:r>
      <w:r w:rsidR="007B515F" w:rsidRPr="00977F2C">
        <w:rPr>
          <w:b/>
          <w:sz w:val="22"/>
          <w:szCs w:val="22"/>
        </w:rPr>
        <w:t>6</w:t>
      </w:r>
      <w:r w:rsidR="003B2D3D" w:rsidRPr="00977F2C">
        <w:rPr>
          <w:b/>
          <w:sz w:val="22"/>
          <w:szCs w:val="22"/>
        </w:rPr>
        <w:t>.</w:t>
      </w:r>
    </w:p>
    <w:p w:rsidR="00E52CCC" w:rsidRDefault="00E52CCC" w:rsidP="00980344">
      <w:pPr>
        <w:jc w:val="both"/>
        <w:rPr>
          <w:sz w:val="22"/>
          <w:szCs w:val="22"/>
        </w:rPr>
      </w:pPr>
    </w:p>
    <w:p w:rsidR="000E25AE" w:rsidRDefault="000E25AE" w:rsidP="00980344">
      <w:pPr>
        <w:jc w:val="both"/>
        <w:rPr>
          <w:sz w:val="22"/>
          <w:szCs w:val="22"/>
        </w:rPr>
      </w:pPr>
    </w:p>
    <w:p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Pr>
          <w:b/>
          <w:sz w:val="22"/>
          <w:szCs w:val="22"/>
        </w:rPr>
        <w:t>Background</w:t>
      </w:r>
      <w:r w:rsidR="00BA0822">
        <w:rPr>
          <w:b/>
          <w:sz w:val="22"/>
          <w:szCs w:val="22"/>
        </w:rPr>
        <w:t xml:space="preserve"> – High Needs Block</w:t>
      </w:r>
    </w:p>
    <w:p w:rsidR="001B416B" w:rsidRPr="001B416B" w:rsidRDefault="001B416B" w:rsidP="001B416B">
      <w:pPr>
        <w:jc w:val="both"/>
        <w:rPr>
          <w:sz w:val="22"/>
          <w:szCs w:val="22"/>
        </w:rPr>
      </w:pPr>
    </w:p>
    <w:p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w:t>
      </w:r>
      <w:r w:rsidR="00081239">
        <w:rPr>
          <w:sz w:val="22"/>
          <w:szCs w:val="22"/>
        </w:rPr>
        <w:t>) towards</w:t>
      </w:r>
      <w:r w:rsidR="009D7DC0">
        <w:rPr>
          <w:sz w:val="22"/>
          <w:szCs w:val="22"/>
        </w:rPr>
        <w:t xml:space="preserve"> National Funding Formula. Significant changes to the way high needs provision is funded were required to be implemented by the DfE for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C050EC">
        <w:rPr>
          <w:sz w:val="22"/>
          <w:szCs w:val="22"/>
        </w:rPr>
        <w:t xml:space="preserve"> of money</w:t>
      </w:r>
      <w:r w:rsidR="009D7DC0">
        <w:rPr>
          <w:sz w:val="22"/>
          <w:szCs w:val="22"/>
        </w:rPr>
        <w:t xml:space="preserve"> within the Dedicated Schools Grant (t</w:t>
      </w:r>
      <w:r w:rsidR="009E7655">
        <w:rPr>
          <w:sz w:val="22"/>
          <w:szCs w:val="22"/>
        </w:rPr>
        <w:t>he DSG</w:t>
      </w:r>
      <w:r w:rsidR="00081239">
        <w:rPr>
          <w:sz w:val="22"/>
          <w:szCs w:val="22"/>
        </w:rPr>
        <w:t>) that amounts to about 14</w:t>
      </w:r>
      <w:r w:rsidR="009D7DC0">
        <w:rPr>
          <w:sz w:val="22"/>
          <w:szCs w:val="22"/>
        </w:rPr>
        <w:t xml:space="preserve">% of the overall DSG resources available to </w:t>
      </w:r>
      <w:r w:rsidR="00D63FBE">
        <w:rPr>
          <w:sz w:val="22"/>
          <w:szCs w:val="22"/>
        </w:rPr>
        <w:t>Bradford Council.</w:t>
      </w:r>
    </w:p>
    <w:p w:rsidR="009D7DC0" w:rsidRDefault="009D7DC0" w:rsidP="009D7DC0">
      <w:pPr>
        <w:jc w:val="both"/>
        <w:rPr>
          <w:sz w:val="22"/>
          <w:szCs w:val="22"/>
        </w:rPr>
      </w:pPr>
    </w:p>
    <w:p w:rsidR="0042353F" w:rsidRDefault="009D7DC0" w:rsidP="009D7DC0">
      <w:pPr>
        <w:jc w:val="both"/>
        <w:rPr>
          <w:sz w:val="22"/>
          <w:szCs w:val="22"/>
        </w:rPr>
      </w:pPr>
      <w:r>
        <w:rPr>
          <w:sz w:val="22"/>
          <w:szCs w:val="22"/>
        </w:rPr>
        <w:t xml:space="preserve">2.2 The high needs funding system supports provision for </w:t>
      </w:r>
      <w:r w:rsidR="00C050EC">
        <w:rPr>
          <w:sz w:val="22"/>
          <w:szCs w:val="22"/>
        </w:rPr>
        <w:t>children and young people with</w:t>
      </w:r>
      <w:r>
        <w:rPr>
          <w:sz w:val="22"/>
          <w:szCs w:val="22"/>
        </w:rPr>
        <w:t xml:space="preserve"> special educational needs and disabilities (SEND) in line with the Children and Families Act 2014. High </w:t>
      </w:r>
      <w:r w:rsidR="00D361C0">
        <w:rPr>
          <w:sz w:val="22"/>
          <w:szCs w:val="22"/>
        </w:rPr>
        <w:t>N</w:t>
      </w:r>
      <w:r>
        <w:rPr>
          <w:sz w:val="22"/>
          <w:szCs w:val="22"/>
        </w:rPr>
        <w:t>eeds</w:t>
      </w:r>
      <w:r w:rsidR="00D361C0">
        <w:rPr>
          <w:sz w:val="22"/>
          <w:szCs w:val="22"/>
        </w:rPr>
        <w:t xml:space="preserve"> Block DSG funding is also allocated</w:t>
      </w:r>
      <w:r>
        <w:rPr>
          <w:sz w:val="22"/>
          <w:szCs w:val="22"/>
        </w:rPr>
        <w:t xml:space="preserve"> to support good quality Alternative Provision for pre-16 pupils who cannot receive education in school</w:t>
      </w:r>
      <w:r w:rsidR="00C050EC">
        <w:rPr>
          <w:sz w:val="22"/>
          <w:szCs w:val="22"/>
        </w:rPr>
        <w:t>s. The Children and F</w:t>
      </w:r>
      <w:r>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 and other providers to meet the needs of children and young people with SEND.</w:t>
      </w:r>
    </w:p>
    <w:p w:rsidR="0042353F" w:rsidRDefault="0042353F" w:rsidP="009D7DC0">
      <w:pPr>
        <w:jc w:val="both"/>
        <w:rPr>
          <w:sz w:val="22"/>
          <w:szCs w:val="22"/>
        </w:rPr>
      </w:pPr>
    </w:p>
    <w:p w:rsidR="009D7DC0" w:rsidRDefault="00C050EC" w:rsidP="009D7DC0">
      <w:pPr>
        <w:jc w:val="both"/>
        <w:rPr>
          <w:sz w:val="22"/>
          <w:szCs w:val="22"/>
        </w:rPr>
      </w:pPr>
      <w:r>
        <w:rPr>
          <w:sz w:val="22"/>
          <w:szCs w:val="22"/>
        </w:rPr>
        <w:t xml:space="preserve">2.3 </w:t>
      </w:r>
      <w:r w:rsidR="0042353F">
        <w:rPr>
          <w:sz w:val="22"/>
          <w:szCs w:val="22"/>
        </w:rPr>
        <w:t>Schools and other providers also have duties under the Act, in particular a duty to co-operate with their local authorities on arrangements for children and young people with SEND.</w:t>
      </w:r>
    </w:p>
    <w:p w:rsidR="00A15080" w:rsidRDefault="00A15080" w:rsidP="009D7DC0">
      <w:pPr>
        <w:jc w:val="both"/>
        <w:rPr>
          <w:sz w:val="22"/>
          <w:szCs w:val="22"/>
        </w:rPr>
      </w:pPr>
    </w:p>
    <w:p w:rsidR="009D7DC0" w:rsidRDefault="00081239" w:rsidP="009D7DC0">
      <w:pPr>
        <w:jc w:val="both"/>
        <w:rPr>
          <w:sz w:val="22"/>
          <w:szCs w:val="22"/>
        </w:rPr>
      </w:pPr>
      <w:r>
        <w:rPr>
          <w:sz w:val="22"/>
          <w:szCs w:val="22"/>
        </w:rPr>
        <w:t>2.4 In 2020</w:t>
      </w:r>
      <w:r w:rsidR="00A15080">
        <w:rPr>
          <w:sz w:val="22"/>
          <w:szCs w:val="22"/>
        </w:rPr>
        <w:t>/</w:t>
      </w:r>
      <w:r>
        <w:rPr>
          <w:sz w:val="22"/>
          <w:szCs w:val="22"/>
        </w:rPr>
        <w:t>21</w:t>
      </w:r>
      <w:r w:rsidR="005A0065">
        <w:rPr>
          <w:sz w:val="22"/>
          <w:szCs w:val="22"/>
        </w:rPr>
        <w:t>, based on announcements made prior to the general election,</w:t>
      </w:r>
      <w:r w:rsidR="001660F8">
        <w:rPr>
          <w:sz w:val="22"/>
          <w:szCs w:val="22"/>
        </w:rPr>
        <w:t xml:space="preserve"> Bradford Council </w:t>
      </w:r>
      <w:r w:rsidR="005A0065">
        <w:rPr>
          <w:sz w:val="22"/>
          <w:szCs w:val="22"/>
        </w:rPr>
        <w:t>expects to</w:t>
      </w:r>
      <w:r>
        <w:rPr>
          <w:sz w:val="22"/>
          <w:szCs w:val="22"/>
        </w:rPr>
        <w:t xml:space="preserve"> receive in the region of £81.17</w:t>
      </w:r>
      <w:r w:rsidR="001660F8">
        <w:rPr>
          <w:sz w:val="22"/>
          <w:szCs w:val="22"/>
        </w:rPr>
        <w:t>m</w:t>
      </w:r>
      <w:r w:rsidR="00A15080">
        <w:rPr>
          <w:sz w:val="22"/>
          <w:szCs w:val="22"/>
        </w:rPr>
        <w:t xml:space="preserve"> High Needs Block funding within</w:t>
      </w:r>
      <w:r w:rsidR="004438D5">
        <w:rPr>
          <w:sz w:val="22"/>
          <w:szCs w:val="22"/>
        </w:rPr>
        <w:t xml:space="preserve"> our DSG allocation</w:t>
      </w:r>
      <w:r w:rsidR="00A15080">
        <w:rPr>
          <w:sz w:val="22"/>
          <w:szCs w:val="22"/>
        </w:rPr>
        <w:t>.</w:t>
      </w:r>
      <w:r w:rsidR="00080C6E">
        <w:rPr>
          <w:sz w:val="22"/>
          <w:szCs w:val="22"/>
        </w:rPr>
        <w:t xml:space="preserve"> </w:t>
      </w:r>
      <w:r>
        <w:rPr>
          <w:sz w:val="22"/>
          <w:szCs w:val="22"/>
        </w:rPr>
        <w:t xml:space="preserve">Around </w:t>
      </w:r>
      <w:r w:rsidR="005A0065" w:rsidRPr="005A0065">
        <w:rPr>
          <w:sz w:val="22"/>
          <w:szCs w:val="22"/>
        </w:rPr>
        <w:t>93</w:t>
      </w:r>
      <w:r w:rsidR="00AC5C2B">
        <w:rPr>
          <w:sz w:val="22"/>
          <w:szCs w:val="22"/>
        </w:rPr>
        <w:t>%</w:t>
      </w:r>
      <w:r>
        <w:rPr>
          <w:sz w:val="22"/>
          <w:szCs w:val="22"/>
        </w:rPr>
        <w:t xml:space="preserve"> of the £81.17</w:t>
      </w:r>
      <w:r w:rsidR="00AC4BBC">
        <w:rPr>
          <w:sz w:val="22"/>
          <w:szCs w:val="22"/>
        </w:rPr>
        <w:t>m</w:t>
      </w:r>
      <w:r w:rsidR="00A15080">
        <w:rPr>
          <w:sz w:val="22"/>
          <w:szCs w:val="22"/>
        </w:rPr>
        <w:t xml:space="preserve"> fu</w:t>
      </w:r>
      <w:r w:rsidR="0060699C">
        <w:rPr>
          <w:sz w:val="22"/>
          <w:szCs w:val="22"/>
        </w:rPr>
        <w:t>nding is expected</w:t>
      </w:r>
      <w:r>
        <w:rPr>
          <w:sz w:val="22"/>
          <w:szCs w:val="22"/>
        </w:rPr>
        <w:t xml:space="preserve"> to be</w:t>
      </w:r>
      <w:r w:rsidR="00FE3794">
        <w:rPr>
          <w:sz w:val="22"/>
          <w:szCs w:val="22"/>
        </w:rPr>
        <w:t xml:space="preserve"> </w:t>
      </w:r>
      <w:r w:rsidR="00A15080">
        <w:rPr>
          <w:sz w:val="22"/>
          <w:szCs w:val="22"/>
        </w:rPr>
        <w:t>delegated or devolved</w:t>
      </w:r>
      <w:r w:rsidR="00FE3794">
        <w:rPr>
          <w:sz w:val="22"/>
          <w:szCs w:val="22"/>
        </w:rPr>
        <w:t xml:space="preserve"> to support the following:</w:t>
      </w:r>
    </w:p>
    <w:p w:rsidR="00262D2F" w:rsidRDefault="00262D2F" w:rsidP="009D7DC0">
      <w:pPr>
        <w:jc w:val="both"/>
        <w:rPr>
          <w:sz w:val="22"/>
          <w:szCs w:val="22"/>
        </w:rPr>
      </w:pPr>
    </w:p>
    <w:p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A15080">
        <w:rPr>
          <w:sz w:val="22"/>
          <w:szCs w:val="22"/>
        </w:rPr>
        <w:t>ucated in mainstream schools,</w:t>
      </w:r>
      <w:r w:rsidR="00FE3794">
        <w:rPr>
          <w:sz w:val="22"/>
          <w:szCs w:val="22"/>
        </w:rPr>
        <w:t xml:space="preserve"> academies</w:t>
      </w:r>
      <w:r w:rsidR="00A15080">
        <w:rPr>
          <w:sz w:val="22"/>
          <w:szCs w:val="22"/>
        </w:rPr>
        <w:t xml:space="preserve"> and free schools</w:t>
      </w:r>
      <w:r w:rsidR="00FE3794">
        <w:rPr>
          <w:sz w:val="22"/>
          <w:szCs w:val="22"/>
        </w:rPr>
        <w:t>.</w:t>
      </w:r>
    </w:p>
    <w:p w:rsidR="009D7DC0" w:rsidRDefault="005A0065" w:rsidP="009D7DC0">
      <w:pPr>
        <w:numPr>
          <w:ilvl w:val="0"/>
          <w:numId w:val="1"/>
        </w:numPr>
        <w:jc w:val="both"/>
        <w:rPr>
          <w:sz w:val="22"/>
          <w:szCs w:val="22"/>
        </w:rPr>
      </w:pPr>
      <w:r>
        <w:rPr>
          <w:sz w:val="22"/>
          <w:szCs w:val="22"/>
        </w:rPr>
        <w:t>Maintained S</w:t>
      </w:r>
      <w:r w:rsidR="00040139">
        <w:rPr>
          <w:sz w:val="22"/>
          <w:szCs w:val="22"/>
        </w:rPr>
        <w:t>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School A</w:t>
      </w:r>
      <w:r w:rsidR="008A434C">
        <w:rPr>
          <w:sz w:val="22"/>
          <w:szCs w:val="22"/>
        </w:rPr>
        <w:t>cademies.</w:t>
      </w:r>
    </w:p>
    <w:p w:rsidR="00FE3794" w:rsidRPr="00FE3794" w:rsidRDefault="005A0065" w:rsidP="00FE3794">
      <w:pPr>
        <w:numPr>
          <w:ilvl w:val="0"/>
          <w:numId w:val="1"/>
        </w:numPr>
        <w:jc w:val="both"/>
        <w:rPr>
          <w:sz w:val="22"/>
          <w:szCs w:val="22"/>
        </w:rPr>
      </w:pPr>
      <w:r>
        <w:rPr>
          <w:sz w:val="22"/>
          <w:szCs w:val="22"/>
        </w:rPr>
        <w:lastRenderedPageBreak/>
        <w:t>Enhanced Specialist Provisions (resourced provisions)</w:t>
      </w:r>
      <w:r w:rsidR="00FE3794">
        <w:rPr>
          <w:sz w:val="22"/>
          <w:szCs w:val="22"/>
        </w:rPr>
        <w:t xml:space="preserve"> attached to maintained nursery schools.</w:t>
      </w:r>
    </w:p>
    <w:p w:rsidR="009D7DC0" w:rsidRDefault="005A0065" w:rsidP="009D7DC0">
      <w:pPr>
        <w:numPr>
          <w:ilvl w:val="0"/>
          <w:numId w:val="1"/>
        </w:numPr>
        <w:jc w:val="both"/>
        <w:rPr>
          <w:sz w:val="22"/>
          <w:szCs w:val="22"/>
        </w:rPr>
      </w:pPr>
      <w:r>
        <w:rPr>
          <w:sz w:val="22"/>
          <w:szCs w:val="22"/>
        </w:rPr>
        <w:t xml:space="preserve">School-led resourced provisions within </w:t>
      </w:r>
      <w:r w:rsidR="009D7DC0">
        <w:rPr>
          <w:sz w:val="22"/>
          <w:szCs w:val="22"/>
        </w:rPr>
        <w:t xml:space="preserve">mainstream </w:t>
      </w:r>
      <w:r w:rsidR="00FE3794">
        <w:rPr>
          <w:sz w:val="22"/>
          <w:szCs w:val="22"/>
        </w:rPr>
        <w:t xml:space="preserve">primary and secondary </w:t>
      </w:r>
      <w:r w:rsidR="009D7DC0">
        <w:rPr>
          <w:sz w:val="22"/>
          <w:szCs w:val="22"/>
        </w:rPr>
        <w:t>schools, academies</w:t>
      </w:r>
      <w:r w:rsidR="00FE3794">
        <w:rPr>
          <w:sz w:val="22"/>
          <w:szCs w:val="22"/>
        </w:rPr>
        <w:t xml:space="preserve"> and free s</w:t>
      </w:r>
      <w:r w:rsidR="009D7DC0">
        <w:rPr>
          <w:sz w:val="22"/>
          <w:szCs w:val="22"/>
        </w:rPr>
        <w:t>chools</w:t>
      </w:r>
      <w:r w:rsidR="0060699C">
        <w:rPr>
          <w:sz w:val="22"/>
          <w:szCs w:val="22"/>
        </w:rPr>
        <w:t xml:space="preserve"> (formerly known as DSPs)</w:t>
      </w:r>
      <w:r w:rsidR="00FE3794">
        <w:rPr>
          <w:sz w:val="22"/>
          <w:szCs w:val="22"/>
        </w:rPr>
        <w:t>.</w:t>
      </w:r>
    </w:p>
    <w:p w:rsidR="005A0065" w:rsidRDefault="005A0065" w:rsidP="009D7DC0">
      <w:pPr>
        <w:numPr>
          <w:ilvl w:val="0"/>
          <w:numId w:val="1"/>
        </w:numPr>
        <w:jc w:val="both"/>
        <w:rPr>
          <w:sz w:val="22"/>
          <w:szCs w:val="22"/>
        </w:rPr>
      </w:pPr>
      <w:r>
        <w:rPr>
          <w:sz w:val="22"/>
          <w:szCs w:val="22"/>
        </w:rPr>
        <w:t>Local Authority-led resourced provisions within mainstream primary and secondary schools, academies and free schools</w:t>
      </w:r>
      <w:r w:rsidR="0060699C">
        <w:rPr>
          <w:sz w:val="22"/>
          <w:szCs w:val="22"/>
        </w:rPr>
        <w:t xml:space="preserve"> (formerly known as ARCs)</w:t>
      </w:r>
      <w:r>
        <w:rPr>
          <w:sz w:val="22"/>
          <w:szCs w:val="22"/>
        </w:rPr>
        <w:t>.</w:t>
      </w:r>
    </w:p>
    <w:p w:rsidR="005A0065" w:rsidRPr="005A0065" w:rsidRDefault="005A0065" w:rsidP="005A0065">
      <w:pPr>
        <w:numPr>
          <w:ilvl w:val="0"/>
          <w:numId w:val="1"/>
        </w:numPr>
        <w:jc w:val="both"/>
        <w:rPr>
          <w:sz w:val="22"/>
          <w:szCs w:val="22"/>
        </w:rPr>
      </w:pPr>
      <w:r>
        <w:rPr>
          <w:sz w:val="22"/>
          <w:szCs w:val="22"/>
        </w:rPr>
        <w:t>Young people aged 16 to 25 in Further Education Colleges, 6</w:t>
      </w:r>
      <w:r w:rsidRPr="008A434C">
        <w:rPr>
          <w:sz w:val="22"/>
          <w:szCs w:val="22"/>
          <w:vertAlign w:val="superscript"/>
        </w:rPr>
        <w:t>th</w:t>
      </w:r>
      <w:r>
        <w:rPr>
          <w:sz w:val="22"/>
          <w:szCs w:val="22"/>
        </w:rPr>
        <w:t xml:space="preserve"> Form Colleges and with independent or specialist learning providers.</w:t>
      </w:r>
    </w:p>
    <w:p w:rsidR="008A434C" w:rsidRPr="008A434C" w:rsidRDefault="009D7DC0" w:rsidP="008A434C">
      <w:pPr>
        <w:numPr>
          <w:ilvl w:val="0"/>
          <w:numId w:val="1"/>
        </w:numPr>
        <w:jc w:val="both"/>
        <w:rPr>
          <w:sz w:val="22"/>
          <w:szCs w:val="22"/>
        </w:rPr>
      </w:pPr>
      <w:r>
        <w:rPr>
          <w:sz w:val="22"/>
          <w:szCs w:val="22"/>
        </w:rPr>
        <w:t>Pupil Referral Units (PRUs)</w:t>
      </w:r>
      <w:r w:rsidR="00FE3794">
        <w:rPr>
          <w:sz w:val="22"/>
          <w:szCs w:val="22"/>
        </w:rPr>
        <w:t>.</w:t>
      </w:r>
    </w:p>
    <w:p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w:t>
      </w:r>
      <w:r w:rsidR="0060699C">
        <w:rPr>
          <w:sz w:val="22"/>
          <w:szCs w:val="22"/>
        </w:rPr>
        <w:t xml:space="preserve"> provisions</w:t>
      </w:r>
      <w:r w:rsidRPr="00A15080">
        <w:rPr>
          <w:sz w:val="22"/>
          <w:szCs w:val="22"/>
        </w:rPr>
        <w:t xml:space="preserve"> and non-maintained special schools.</w:t>
      </w:r>
    </w:p>
    <w:p w:rsidR="00D810AF" w:rsidRDefault="00D810AF" w:rsidP="00D810AF">
      <w:pPr>
        <w:jc w:val="both"/>
        <w:rPr>
          <w:sz w:val="22"/>
          <w:szCs w:val="22"/>
        </w:rPr>
      </w:pPr>
    </w:p>
    <w:p w:rsidR="00D810AF" w:rsidRPr="00B76452" w:rsidRDefault="00A15080" w:rsidP="00D810AF">
      <w:pPr>
        <w:jc w:val="both"/>
        <w:rPr>
          <w:sz w:val="22"/>
          <w:szCs w:val="22"/>
        </w:rPr>
      </w:pPr>
      <w:r>
        <w:rPr>
          <w:sz w:val="22"/>
          <w:szCs w:val="22"/>
        </w:rPr>
        <w:t>2.5 High Needs Block funding in Bradford also supports central services relating to SEND and Alternative Provision</w:t>
      </w:r>
      <w:r w:rsidR="00AC5C2B">
        <w:rPr>
          <w:sz w:val="22"/>
          <w:szCs w:val="22"/>
        </w:rPr>
        <w:t>,</w:t>
      </w:r>
      <w:r w:rsidR="00755542">
        <w:rPr>
          <w:sz w:val="22"/>
          <w:szCs w:val="22"/>
        </w:rPr>
        <w:t xml:space="preserve"> as permitted by the Finance Regulations,</w:t>
      </w:r>
      <w:r w:rsidR="00AC5C2B">
        <w:rPr>
          <w:sz w:val="22"/>
          <w:szCs w:val="22"/>
        </w:rPr>
        <w:t xml:space="preserve"> which includes </w:t>
      </w:r>
      <w:r w:rsidR="00D10737">
        <w:rPr>
          <w:sz w:val="22"/>
          <w:szCs w:val="22"/>
        </w:rPr>
        <w:t xml:space="preserve">SEND </w:t>
      </w:r>
      <w:r w:rsidR="00AC5C2B">
        <w:rPr>
          <w:sz w:val="22"/>
          <w:szCs w:val="22"/>
        </w:rPr>
        <w:t xml:space="preserve">teaching support services </w:t>
      </w:r>
      <w:r w:rsidR="00D10737">
        <w:rPr>
          <w:sz w:val="22"/>
          <w:szCs w:val="22"/>
        </w:rPr>
        <w:t xml:space="preserve">that are </w:t>
      </w:r>
      <w:r w:rsidR="00AC5C2B">
        <w:rPr>
          <w:sz w:val="22"/>
          <w:szCs w:val="22"/>
        </w:rPr>
        <w:t>accessed by schools and other providers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continue to separately fund additional outreach and support services that may be managed centrally or may be devolved to providers under service level agreements.</w:t>
      </w:r>
    </w:p>
    <w:p w:rsidR="00D10737" w:rsidRDefault="00D10737" w:rsidP="001B416B">
      <w:pPr>
        <w:jc w:val="both"/>
        <w:rPr>
          <w:sz w:val="22"/>
          <w:szCs w:val="22"/>
        </w:rPr>
      </w:pPr>
    </w:p>
    <w:p w:rsidR="00E81B54" w:rsidRPr="00E81B54" w:rsidRDefault="00E81B54" w:rsidP="00E81B54">
      <w:pPr>
        <w:jc w:val="both"/>
        <w:rPr>
          <w:sz w:val="22"/>
          <w:szCs w:val="22"/>
        </w:rPr>
      </w:pPr>
      <w:r>
        <w:rPr>
          <w:sz w:val="22"/>
          <w:szCs w:val="22"/>
        </w:rPr>
        <w:t xml:space="preserve">2.6 </w:t>
      </w:r>
      <w:r w:rsidR="00A002B0">
        <w:rPr>
          <w:sz w:val="22"/>
          <w:szCs w:val="22"/>
        </w:rPr>
        <w:t>Unlike for primary and secondary schools, t</w:t>
      </w:r>
      <w:r>
        <w:rPr>
          <w:sz w:val="22"/>
          <w:szCs w:val="22"/>
        </w:rPr>
        <w:t>he</w:t>
      </w:r>
      <w:r w:rsidR="00BA0822">
        <w:rPr>
          <w:sz w:val="22"/>
          <w:szCs w:val="22"/>
        </w:rPr>
        <w:t xml:space="preserve"> DfE’s National Funding Formula</w:t>
      </w:r>
      <w:r w:rsidR="009041DE">
        <w:rPr>
          <w:sz w:val="22"/>
          <w:szCs w:val="22"/>
        </w:rPr>
        <w:t xml:space="preserve"> </w:t>
      </w:r>
      <w:r w:rsidRPr="00E81B54">
        <w:rPr>
          <w:sz w:val="22"/>
          <w:szCs w:val="22"/>
        </w:rPr>
        <w:t>do</w:t>
      </w:r>
      <w:r>
        <w:rPr>
          <w:sz w:val="22"/>
          <w:szCs w:val="22"/>
        </w:rPr>
        <w:t>es</w:t>
      </w:r>
      <w:r w:rsidRPr="00E81B54">
        <w:rPr>
          <w:sz w:val="22"/>
          <w:szCs w:val="22"/>
        </w:rPr>
        <w:t xml:space="preserve"> not introduce a provider-level national formula for H</w:t>
      </w:r>
      <w:r>
        <w:rPr>
          <w:sz w:val="22"/>
          <w:szCs w:val="22"/>
        </w:rPr>
        <w:t xml:space="preserve">igh </w:t>
      </w:r>
      <w:r w:rsidRPr="00E81B54">
        <w:rPr>
          <w:sz w:val="22"/>
          <w:szCs w:val="22"/>
        </w:rPr>
        <w:t>N</w:t>
      </w:r>
      <w:r>
        <w:rPr>
          <w:sz w:val="22"/>
          <w:szCs w:val="22"/>
        </w:rPr>
        <w:t xml:space="preserve">eeds Block </w:t>
      </w:r>
      <w:r w:rsidRPr="00E81B54">
        <w:rPr>
          <w:sz w:val="22"/>
          <w:szCs w:val="22"/>
        </w:rPr>
        <w:t>funded providers. Local authorities continue to have responsibility for the management / formula funding of High Needs Block (HNB) provisions.</w:t>
      </w:r>
      <w:r>
        <w:rPr>
          <w:sz w:val="22"/>
          <w:szCs w:val="22"/>
        </w:rPr>
        <w:t xml:space="preserve"> </w:t>
      </w:r>
    </w:p>
    <w:p w:rsidR="009177FC" w:rsidRDefault="009177FC" w:rsidP="001B416B">
      <w:pPr>
        <w:jc w:val="both"/>
        <w:rPr>
          <w:sz w:val="22"/>
          <w:szCs w:val="22"/>
        </w:rPr>
      </w:pPr>
    </w:p>
    <w:p w:rsidR="001B1A21" w:rsidRDefault="001B1A21" w:rsidP="001B416B">
      <w:pPr>
        <w:jc w:val="both"/>
        <w:rPr>
          <w:sz w:val="22"/>
          <w:szCs w:val="22"/>
        </w:rPr>
      </w:pPr>
    </w:p>
    <w:p w:rsidR="00D27FD9" w:rsidRPr="00FE01F3" w:rsidRDefault="00D27FD9" w:rsidP="00D27FD9">
      <w:pPr>
        <w:jc w:val="both"/>
        <w:rPr>
          <w:sz w:val="22"/>
          <w:szCs w:val="22"/>
        </w:rPr>
      </w:pPr>
      <w:r w:rsidRPr="00FE01F3">
        <w:rPr>
          <w:b/>
          <w:sz w:val="22"/>
          <w:szCs w:val="22"/>
        </w:rPr>
        <w:t>3.</w:t>
      </w:r>
      <w:r w:rsidRPr="00FE01F3">
        <w:rPr>
          <w:b/>
          <w:sz w:val="22"/>
          <w:szCs w:val="22"/>
        </w:rPr>
        <w:tab/>
      </w:r>
      <w:r w:rsidR="00C4528C" w:rsidRPr="00FE01F3">
        <w:rPr>
          <w:b/>
          <w:sz w:val="22"/>
          <w:szCs w:val="22"/>
        </w:rPr>
        <w:t xml:space="preserve">DfE-Led </w:t>
      </w:r>
      <w:r w:rsidRPr="00FE01F3">
        <w:rPr>
          <w:b/>
          <w:sz w:val="22"/>
          <w:szCs w:val="22"/>
        </w:rPr>
        <w:t xml:space="preserve">National </w:t>
      </w:r>
      <w:r w:rsidR="00AF10EC" w:rsidRPr="00FE01F3">
        <w:rPr>
          <w:b/>
          <w:sz w:val="22"/>
          <w:szCs w:val="22"/>
        </w:rPr>
        <w:t xml:space="preserve">High Needs Funding </w:t>
      </w:r>
      <w:r w:rsidR="009177FC">
        <w:rPr>
          <w:b/>
          <w:sz w:val="22"/>
          <w:szCs w:val="22"/>
        </w:rPr>
        <w:t>System 2020</w:t>
      </w:r>
      <w:r w:rsidRPr="00FE01F3">
        <w:rPr>
          <w:b/>
          <w:sz w:val="22"/>
          <w:szCs w:val="22"/>
        </w:rPr>
        <w:t>/2</w:t>
      </w:r>
      <w:r w:rsidR="009177FC">
        <w:rPr>
          <w:b/>
          <w:sz w:val="22"/>
          <w:szCs w:val="22"/>
        </w:rPr>
        <w:t>1</w:t>
      </w:r>
    </w:p>
    <w:p w:rsidR="00D27FD9" w:rsidRPr="00FE01F3" w:rsidRDefault="00D27FD9" w:rsidP="001B416B">
      <w:pPr>
        <w:jc w:val="both"/>
        <w:rPr>
          <w:sz w:val="22"/>
          <w:szCs w:val="22"/>
        </w:rPr>
      </w:pPr>
    </w:p>
    <w:p w:rsidR="009A2660" w:rsidRPr="00224C4E" w:rsidRDefault="009A2660" w:rsidP="001B416B">
      <w:pPr>
        <w:jc w:val="both"/>
        <w:rPr>
          <w:sz w:val="22"/>
          <w:szCs w:val="22"/>
        </w:rPr>
      </w:pPr>
      <w:r w:rsidRPr="00224C4E">
        <w:rPr>
          <w:sz w:val="22"/>
          <w:szCs w:val="22"/>
        </w:rPr>
        <w:t xml:space="preserve">3.1 </w:t>
      </w:r>
      <w:r w:rsidR="00D10D4C" w:rsidRPr="00224C4E">
        <w:rPr>
          <w:sz w:val="22"/>
          <w:szCs w:val="22"/>
        </w:rPr>
        <w:t xml:space="preserve">For 2020/21, based on announcements made prior to the general election held on 12 December, the basic construct of the national high needs funding system is anticipated to remain in place and unchanged from the arrangements and thresholds that </w:t>
      </w:r>
      <w:r w:rsidR="000B70DE" w:rsidRPr="00224C4E">
        <w:rPr>
          <w:sz w:val="22"/>
          <w:szCs w:val="22"/>
        </w:rPr>
        <w:t>operated in</w:t>
      </w:r>
      <w:r w:rsidR="009177FC" w:rsidRPr="00224C4E">
        <w:rPr>
          <w:sz w:val="22"/>
          <w:szCs w:val="22"/>
        </w:rPr>
        <w:t xml:space="preserve"> 2019/20.</w:t>
      </w:r>
      <w:r w:rsidR="00500ED5" w:rsidRPr="00224C4E">
        <w:rPr>
          <w:sz w:val="22"/>
          <w:szCs w:val="22"/>
        </w:rPr>
        <w:t xml:space="preserve"> The most obvious elements are place funding</w:t>
      </w:r>
      <w:r w:rsidR="00346A65" w:rsidRPr="00224C4E">
        <w:rPr>
          <w:sz w:val="22"/>
          <w:szCs w:val="22"/>
        </w:rPr>
        <w:t>,</w:t>
      </w:r>
      <w:r w:rsidR="00500ED5" w:rsidRPr="00224C4E">
        <w:rPr>
          <w:sz w:val="22"/>
          <w:szCs w:val="22"/>
        </w:rPr>
        <w:t xml:space="preserve"> set at £10,000</w:t>
      </w:r>
      <w:r w:rsidR="00346A65" w:rsidRPr="00224C4E">
        <w:rPr>
          <w:sz w:val="22"/>
          <w:szCs w:val="22"/>
        </w:rPr>
        <w:t>,</w:t>
      </w:r>
      <w:r w:rsidR="00500ED5" w:rsidRPr="00224C4E">
        <w:rPr>
          <w:sz w:val="22"/>
          <w:szCs w:val="22"/>
        </w:rPr>
        <w:t xml:space="preserve"> and element 2 funding</w:t>
      </w:r>
      <w:r w:rsidR="00346A65" w:rsidRPr="00224C4E">
        <w:rPr>
          <w:sz w:val="22"/>
          <w:szCs w:val="22"/>
        </w:rPr>
        <w:t>,</w:t>
      </w:r>
      <w:r w:rsidR="00500ED5" w:rsidRPr="00224C4E">
        <w:rPr>
          <w:sz w:val="22"/>
          <w:szCs w:val="22"/>
        </w:rPr>
        <w:t xml:space="preserve"> set at £6,000. These are unchanged.</w:t>
      </w:r>
    </w:p>
    <w:p w:rsidR="00535162" w:rsidRDefault="00535162" w:rsidP="001B416B">
      <w:pPr>
        <w:jc w:val="both"/>
        <w:rPr>
          <w:sz w:val="22"/>
          <w:szCs w:val="22"/>
        </w:rPr>
      </w:pPr>
    </w:p>
    <w:p w:rsidR="00E37FC5" w:rsidRDefault="009177FC" w:rsidP="001B416B">
      <w:pPr>
        <w:jc w:val="both"/>
        <w:rPr>
          <w:sz w:val="22"/>
          <w:szCs w:val="22"/>
        </w:rPr>
      </w:pPr>
      <w:r>
        <w:rPr>
          <w:sz w:val="22"/>
          <w:szCs w:val="22"/>
        </w:rPr>
        <w:t xml:space="preserve">3.2 </w:t>
      </w:r>
      <w:r w:rsidRPr="009D16B4">
        <w:rPr>
          <w:sz w:val="22"/>
          <w:szCs w:val="22"/>
        </w:rPr>
        <w:t>Th</w:t>
      </w:r>
      <w:r>
        <w:rPr>
          <w:sz w:val="22"/>
          <w:szCs w:val="22"/>
        </w:rPr>
        <w:t>e DfE has recently announced a</w:t>
      </w:r>
      <w:r w:rsidRPr="009D16B4">
        <w:rPr>
          <w:sz w:val="22"/>
          <w:szCs w:val="22"/>
        </w:rPr>
        <w:t xml:space="preserve"> full review of the </w:t>
      </w:r>
      <w:r>
        <w:rPr>
          <w:sz w:val="22"/>
          <w:szCs w:val="22"/>
        </w:rPr>
        <w:t xml:space="preserve">SEND / </w:t>
      </w:r>
      <w:r w:rsidRPr="009D16B4">
        <w:rPr>
          <w:sz w:val="22"/>
          <w:szCs w:val="22"/>
        </w:rPr>
        <w:t>EHCP system. The DfE also conducted in summer 2019 a ‘Call for Evidence’ on the financial arrangements for SEND and alternative provision. These</w:t>
      </w:r>
      <w:r>
        <w:rPr>
          <w:sz w:val="22"/>
          <w:szCs w:val="22"/>
        </w:rPr>
        <w:t xml:space="preserve"> together</w:t>
      </w:r>
      <w:r w:rsidRPr="009D16B4">
        <w:rPr>
          <w:sz w:val="22"/>
          <w:szCs w:val="22"/>
        </w:rPr>
        <w:t xml:space="preserve"> are very likely </w:t>
      </w:r>
      <w:r>
        <w:rPr>
          <w:sz w:val="22"/>
          <w:szCs w:val="22"/>
        </w:rPr>
        <w:t>to result in changes to</w:t>
      </w:r>
      <w:r w:rsidRPr="009D16B4">
        <w:rPr>
          <w:sz w:val="22"/>
          <w:szCs w:val="22"/>
        </w:rPr>
        <w:t xml:space="preserve"> the high need</w:t>
      </w:r>
      <w:r w:rsidR="00D10D4C">
        <w:rPr>
          <w:sz w:val="22"/>
          <w:szCs w:val="22"/>
        </w:rPr>
        <w:t>s funding system in the future.</w:t>
      </w:r>
    </w:p>
    <w:p w:rsidR="009177FC" w:rsidRDefault="009177FC" w:rsidP="001B416B">
      <w:pPr>
        <w:jc w:val="both"/>
        <w:rPr>
          <w:sz w:val="22"/>
          <w:szCs w:val="22"/>
        </w:rPr>
      </w:pPr>
    </w:p>
    <w:p w:rsidR="00C6158B" w:rsidRDefault="00C6158B" w:rsidP="001B416B">
      <w:pPr>
        <w:jc w:val="both"/>
        <w:rPr>
          <w:sz w:val="22"/>
          <w:szCs w:val="22"/>
        </w:rPr>
      </w:pPr>
    </w:p>
    <w:p w:rsidR="00D10737" w:rsidRDefault="002364E2" w:rsidP="00D10737">
      <w:pPr>
        <w:jc w:val="both"/>
        <w:rPr>
          <w:sz w:val="22"/>
          <w:szCs w:val="22"/>
        </w:rPr>
      </w:pPr>
      <w:r>
        <w:rPr>
          <w:b/>
          <w:sz w:val="22"/>
          <w:szCs w:val="22"/>
        </w:rPr>
        <w:t>4</w:t>
      </w:r>
      <w:r w:rsidR="00D10737" w:rsidRPr="00924C42">
        <w:rPr>
          <w:b/>
          <w:sz w:val="22"/>
          <w:szCs w:val="22"/>
        </w:rPr>
        <w:t>.</w:t>
      </w:r>
      <w:r w:rsidR="00D10737" w:rsidRPr="00924C42">
        <w:rPr>
          <w:b/>
          <w:sz w:val="22"/>
          <w:szCs w:val="22"/>
        </w:rPr>
        <w:tab/>
      </w:r>
      <w:r w:rsidR="00D10737">
        <w:rPr>
          <w:b/>
          <w:sz w:val="22"/>
          <w:szCs w:val="22"/>
        </w:rPr>
        <w:t>Place</w:t>
      </w:r>
      <w:r w:rsidR="00E54659">
        <w:rPr>
          <w:b/>
          <w:sz w:val="22"/>
          <w:szCs w:val="22"/>
        </w:rPr>
        <w:t xml:space="preserve"> (or Core</w:t>
      </w:r>
      <w:r w:rsidR="00943EB6">
        <w:rPr>
          <w:b/>
          <w:sz w:val="22"/>
          <w:szCs w:val="22"/>
        </w:rPr>
        <w:t>)</w:t>
      </w:r>
      <w:r w:rsidR="00D10737">
        <w:rPr>
          <w:b/>
          <w:sz w:val="22"/>
          <w:szCs w:val="22"/>
        </w:rPr>
        <w:t xml:space="preserve"> Funding</w:t>
      </w:r>
    </w:p>
    <w:p w:rsidR="00D10737" w:rsidRDefault="00D10737" w:rsidP="00D10737">
      <w:pPr>
        <w:jc w:val="both"/>
        <w:rPr>
          <w:sz w:val="22"/>
          <w:szCs w:val="22"/>
        </w:rPr>
      </w:pPr>
    </w:p>
    <w:p w:rsidR="00D10737" w:rsidRDefault="002364E2" w:rsidP="00D10737">
      <w:pPr>
        <w:jc w:val="both"/>
        <w:rPr>
          <w:sz w:val="22"/>
          <w:szCs w:val="22"/>
        </w:rPr>
      </w:pPr>
      <w:r>
        <w:rPr>
          <w:sz w:val="22"/>
          <w:szCs w:val="22"/>
        </w:rPr>
        <w:t>4</w:t>
      </w:r>
      <w:r w:rsidR="00D10737">
        <w:rPr>
          <w:sz w:val="22"/>
          <w:szCs w:val="22"/>
        </w:rPr>
        <w:t>.1</w:t>
      </w:r>
      <w:r w:rsidR="0097727C">
        <w:rPr>
          <w:sz w:val="22"/>
          <w:szCs w:val="22"/>
        </w:rPr>
        <w:t xml:space="preserve"> The national high needs funding approach is 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w:t>
      </w:r>
      <w:r w:rsidR="00D32B81">
        <w:rPr>
          <w:sz w:val="22"/>
          <w:szCs w:val="22"/>
        </w:rPr>
        <w:t xml:space="preserve"> current</w:t>
      </w:r>
      <w:r w:rsidR="0097727C">
        <w:rPr>
          <w:sz w:val="22"/>
          <w:szCs w:val="22"/>
        </w:rPr>
        <w:t xml:space="preserve"> national</w:t>
      </w:r>
      <w:r w:rsidR="0097727C" w:rsidRPr="00241900">
        <w:rPr>
          <w:sz w:val="22"/>
          <w:szCs w:val="22"/>
        </w:rPr>
        <w:t xml:space="preserve"> </w:t>
      </w:r>
      <w:r w:rsidR="0097727C">
        <w:rPr>
          <w:sz w:val="22"/>
          <w:szCs w:val="22"/>
        </w:rPr>
        <w:t>‘Place Plus’ framework and the basis of the definition of the financial responsibility that maintained schools, academies</w:t>
      </w:r>
      <w:r w:rsidR="004F1E2F">
        <w:rPr>
          <w:sz w:val="22"/>
          <w:szCs w:val="22"/>
        </w:rPr>
        <w:t xml:space="preserve"> and other providers</w:t>
      </w:r>
      <w:r w:rsidR="0097727C">
        <w:rPr>
          <w:sz w:val="22"/>
          <w:szCs w:val="22"/>
        </w:rPr>
        <w:t xml:space="preserve"> have for meeting the needs of children and young people from their </w:t>
      </w:r>
      <w:r w:rsidR="00D32B81">
        <w:rPr>
          <w:sz w:val="22"/>
          <w:szCs w:val="22"/>
        </w:rPr>
        <w:t xml:space="preserve">already </w:t>
      </w:r>
      <w:r w:rsidR="0097727C">
        <w:rPr>
          <w:sz w:val="22"/>
          <w:szCs w:val="22"/>
        </w:rPr>
        <w:t>delegated budgets.</w:t>
      </w:r>
    </w:p>
    <w:p w:rsidR="0097727C" w:rsidRDefault="0097727C" w:rsidP="00D10737">
      <w:pPr>
        <w:jc w:val="both"/>
        <w:rPr>
          <w:sz w:val="22"/>
          <w:szCs w:val="22"/>
        </w:rPr>
      </w:pPr>
    </w:p>
    <w:p w:rsidR="00AE7795" w:rsidRDefault="002364E2" w:rsidP="00D10737">
      <w:pPr>
        <w:jc w:val="both"/>
        <w:rPr>
          <w:sz w:val="22"/>
          <w:szCs w:val="22"/>
        </w:rPr>
      </w:pPr>
      <w:r>
        <w:rPr>
          <w:sz w:val="22"/>
          <w:szCs w:val="22"/>
        </w:rPr>
        <w:t>4</w:t>
      </w:r>
      <w:r w:rsidR="0097727C">
        <w:rPr>
          <w:sz w:val="22"/>
          <w:szCs w:val="22"/>
        </w:rPr>
        <w:t xml:space="preserve">.2 </w:t>
      </w:r>
      <w:r w:rsidR="00AE7795">
        <w:rPr>
          <w:sz w:val="22"/>
          <w:szCs w:val="22"/>
        </w:rPr>
        <w:t>High needs funding has two parts a) core (or place) funding and b) top-up (or plus) funding.</w:t>
      </w:r>
      <w:r w:rsidR="00CC0DA3">
        <w:rPr>
          <w:sz w:val="22"/>
          <w:szCs w:val="22"/>
        </w:rPr>
        <w:t xml:space="preserve"> The grid at </w:t>
      </w:r>
      <w:r w:rsidR="00CC0DA3" w:rsidRPr="00D32B2B">
        <w:rPr>
          <w:sz w:val="22"/>
          <w:szCs w:val="22"/>
        </w:rPr>
        <w:t xml:space="preserve">Appendix 1 </w:t>
      </w:r>
      <w:r w:rsidR="00CC0DA3">
        <w:rPr>
          <w:sz w:val="22"/>
          <w:szCs w:val="22"/>
        </w:rPr>
        <w:t>sets out in summary how this system operates</w:t>
      </w:r>
      <w:r w:rsidR="00A25FAD">
        <w:rPr>
          <w:sz w:val="22"/>
          <w:szCs w:val="22"/>
        </w:rPr>
        <w:t>, and how these two part</w:t>
      </w:r>
      <w:r w:rsidR="00FC5E2D">
        <w:rPr>
          <w:sz w:val="22"/>
          <w:szCs w:val="22"/>
        </w:rPr>
        <w:t>s</w:t>
      </w:r>
      <w:r w:rsidR="00A25FAD">
        <w:rPr>
          <w:sz w:val="22"/>
          <w:szCs w:val="22"/>
        </w:rPr>
        <w:t xml:space="preserve"> work together,</w:t>
      </w:r>
      <w:r w:rsidR="00CC0DA3">
        <w:rPr>
          <w:sz w:val="22"/>
          <w:szCs w:val="22"/>
        </w:rPr>
        <w:t xml:space="preserve"> for each main type of school or provider.</w:t>
      </w:r>
    </w:p>
    <w:p w:rsidR="00AE7795" w:rsidRDefault="00AE7795" w:rsidP="00D10737">
      <w:pPr>
        <w:jc w:val="both"/>
        <w:rPr>
          <w:sz w:val="22"/>
          <w:szCs w:val="22"/>
        </w:rPr>
      </w:pPr>
    </w:p>
    <w:p w:rsidR="006F3C02" w:rsidRDefault="002364E2" w:rsidP="00D10737">
      <w:pPr>
        <w:jc w:val="both"/>
        <w:rPr>
          <w:sz w:val="22"/>
          <w:szCs w:val="22"/>
        </w:rPr>
      </w:pPr>
      <w:r>
        <w:rPr>
          <w:sz w:val="22"/>
          <w:szCs w:val="22"/>
        </w:rPr>
        <w:t>4</w:t>
      </w:r>
      <w:r w:rsidR="00156D01">
        <w:rPr>
          <w:sz w:val="22"/>
          <w:szCs w:val="22"/>
        </w:rPr>
        <w:t xml:space="preserve">.3 </w:t>
      </w:r>
      <w:r w:rsidR="006F3C02">
        <w:rPr>
          <w:sz w:val="22"/>
          <w:szCs w:val="22"/>
        </w:rPr>
        <w:t xml:space="preserve">Core (or place) funding for </w:t>
      </w:r>
      <w:r w:rsidR="002C458B">
        <w:rPr>
          <w:sz w:val="22"/>
          <w:szCs w:val="22"/>
        </w:rPr>
        <w:t xml:space="preserve">Bradford’s </w:t>
      </w:r>
      <w:r w:rsidR="00150971">
        <w:rPr>
          <w:sz w:val="22"/>
          <w:szCs w:val="22"/>
        </w:rPr>
        <w:t xml:space="preserve">stand alone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796B2A">
        <w:rPr>
          <w:sz w:val="22"/>
          <w:szCs w:val="22"/>
        </w:rPr>
        <w:t xml:space="preserve">school </w:t>
      </w:r>
      <w:r w:rsidR="006F3C02">
        <w:rPr>
          <w:sz w:val="22"/>
          <w:szCs w:val="22"/>
        </w:rPr>
        <w:t>academies, and for PRUs</w:t>
      </w:r>
      <w:r w:rsidR="00973F70">
        <w:rPr>
          <w:sz w:val="22"/>
          <w:szCs w:val="22"/>
        </w:rPr>
        <w:t>,</w:t>
      </w:r>
      <w:r w:rsidR="00B67F4F">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000 for pre-16 aged placements. T</w:t>
      </w:r>
      <w:r w:rsidR="006F3C02">
        <w:rPr>
          <w:sz w:val="22"/>
          <w:szCs w:val="22"/>
        </w:rPr>
        <w:t>he value for post 16 placements</w:t>
      </w:r>
      <w:r w:rsidR="0027601E">
        <w:rPr>
          <w:sz w:val="22"/>
          <w:szCs w:val="22"/>
        </w:rPr>
        <w:t xml:space="preserve"> in special schools and </w:t>
      </w:r>
      <w:r w:rsidR="007B5DCB">
        <w:rPr>
          <w:sz w:val="22"/>
          <w:szCs w:val="22"/>
        </w:rPr>
        <w:t xml:space="preserve">special school </w:t>
      </w:r>
      <w:r w:rsidR="0027601E">
        <w:rPr>
          <w:sz w:val="22"/>
          <w:szCs w:val="22"/>
        </w:rPr>
        <w:t>academies</w:t>
      </w:r>
      <w:r w:rsidR="006F3C02">
        <w:rPr>
          <w:sz w:val="22"/>
          <w:szCs w:val="22"/>
        </w:rPr>
        <w:t xml:space="preserve"> is slightly enhanced</w:t>
      </w:r>
      <w:r w:rsidR="00020421">
        <w:rPr>
          <w:sz w:val="22"/>
          <w:szCs w:val="22"/>
        </w:rPr>
        <w:t xml:space="preserve"> </w:t>
      </w:r>
      <w:r w:rsidR="006F3C02">
        <w:rPr>
          <w:sz w:val="22"/>
          <w:szCs w:val="22"/>
        </w:rPr>
        <w:t>by the higher value of element 1 funding in the p</w:t>
      </w:r>
      <w:r w:rsidR="00FC5E2D">
        <w:rPr>
          <w:sz w:val="22"/>
          <w:szCs w:val="22"/>
        </w:rPr>
        <w:t>ost 16 national funding formula</w:t>
      </w:r>
      <w:r w:rsidR="006F3C02">
        <w:rPr>
          <w:sz w:val="22"/>
          <w:szCs w:val="22"/>
        </w:rPr>
        <w:t xml:space="preserve">. </w:t>
      </w:r>
      <w:r w:rsidR="00C41CF3">
        <w:rPr>
          <w:sz w:val="22"/>
          <w:szCs w:val="22"/>
        </w:rPr>
        <w:t>P</w:t>
      </w:r>
      <w:r w:rsidR="00663F76">
        <w:rPr>
          <w:sz w:val="22"/>
          <w:szCs w:val="22"/>
        </w:rPr>
        <w:t>lace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 xml:space="preserve">lace funding is allocated </w:t>
      </w:r>
      <w:r w:rsidR="00565BC0">
        <w:rPr>
          <w:sz w:val="22"/>
          <w:szCs w:val="22"/>
        </w:rPr>
        <w:t>to support the institution’s</w:t>
      </w:r>
      <w:r w:rsidR="00943EB6">
        <w:rPr>
          <w:sz w:val="22"/>
          <w:szCs w:val="22"/>
        </w:rPr>
        <w:t xml:space="preserve"> core costs</w:t>
      </w:r>
      <w:r w:rsidR="00565BC0">
        <w:rPr>
          <w:sz w:val="22"/>
          <w:szCs w:val="22"/>
        </w:rPr>
        <w:t xml:space="preserve"> (element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565BC0">
        <w:rPr>
          <w:sz w:val="22"/>
          <w:szCs w:val="22"/>
        </w:rPr>
        <w:t xml:space="preserve"> (element 2)</w:t>
      </w:r>
      <w:r w:rsidR="00943EB6">
        <w:rPr>
          <w:sz w:val="22"/>
          <w:szCs w:val="22"/>
        </w:rPr>
        <w:t>. However, it is not ‘pupil specific’</w:t>
      </w:r>
      <w:r w:rsidR="004F1E2F">
        <w:rPr>
          <w:sz w:val="22"/>
          <w:szCs w:val="22"/>
        </w:rPr>
        <w:t>. P</w:t>
      </w:r>
      <w:r w:rsidR="00943EB6">
        <w:rPr>
          <w:sz w:val="22"/>
          <w:szCs w:val="22"/>
        </w:rPr>
        <w:t xml:space="preserve">lace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 funding across the actual number of places</w:t>
      </w:r>
      <w:r w:rsidR="00407B13">
        <w:rPr>
          <w:sz w:val="22"/>
          <w:szCs w:val="22"/>
        </w:rPr>
        <w:t xml:space="preserve"> commissioned by local authorities.</w:t>
      </w:r>
      <w:r w:rsidR="002C458B">
        <w:rPr>
          <w:sz w:val="22"/>
          <w:szCs w:val="22"/>
        </w:rPr>
        <w:t xml:space="preserve"> Additional place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which</w:t>
      </w:r>
      <w:r w:rsidR="00F32D1B" w:rsidRPr="00867A95">
        <w:rPr>
          <w:sz w:val="22"/>
          <w:szCs w:val="22"/>
        </w:rPr>
        <w:t xml:space="preserve"> mean</w:t>
      </w:r>
      <w:r w:rsidR="00F32D1B">
        <w:rPr>
          <w:sz w:val="22"/>
          <w:szCs w:val="22"/>
        </w:rPr>
        <w:t>s</w:t>
      </w:r>
      <w:r w:rsidR="002C458B">
        <w:rPr>
          <w:sz w:val="22"/>
          <w:szCs w:val="22"/>
        </w:rPr>
        <w:t xml:space="preserve"> that an</w:t>
      </w:r>
      <w:r w:rsidR="00F862DA">
        <w:rPr>
          <w:sz w:val="22"/>
          <w:szCs w:val="22"/>
        </w:rPr>
        <w:t>y</w:t>
      </w:r>
      <w:r w:rsidR="002C458B">
        <w:rPr>
          <w:sz w:val="22"/>
          <w:szCs w:val="22"/>
        </w:rPr>
        <w:t xml:space="preserve"> </w:t>
      </w:r>
      <w:r w:rsidR="00D32B81">
        <w:rPr>
          <w:sz w:val="22"/>
          <w:szCs w:val="22"/>
        </w:rPr>
        <w:t xml:space="preserve">additional </w:t>
      </w:r>
      <w:r w:rsidR="00F32D1B" w:rsidRPr="00867A95">
        <w:rPr>
          <w:sz w:val="22"/>
          <w:szCs w:val="22"/>
        </w:rPr>
        <w:t>place funding</w:t>
      </w:r>
      <w:r w:rsidR="00F862DA">
        <w:rPr>
          <w:sz w:val="22"/>
          <w:szCs w:val="22"/>
        </w:rPr>
        <w:t xml:space="preserve"> allocated to an institution</w:t>
      </w:r>
      <w:r w:rsidR="00F32D1B" w:rsidRPr="00867A95">
        <w:rPr>
          <w:sz w:val="22"/>
          <w:szCs w:val="22"/>
        </w:rPr>
        <w:t xml:space="preserve"> will be reduced</w:t>
      </w:r>
      <w:r w:rsidR="00F862DA">
        <w:rPr>
          <w:sz w:val="22"/>
          <w:szCs w:val="22"/>
        </w:rPr>
        <w:t xml:space="preserve"> / removed</w:t>
      </w:r>
      <w:r w:rsidR="00F32D1B" w:rsidRPr="00867A95">
        <w:rPr>
          <w:sz w:val="22"/>
          <w:szCs w:val="22"/>
        </w:rPr>
        <w:t xml:space="preserve">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32D1B">
        <w:rPr>
          <w:sz w:val="22"/>
          <w:szCs w:val="22"/>
        </w:rPr>
        <w:t>.</w:t>
      </w:r>
    </w:p>
    <w:p w:rsidR="009B1D6F" w:rsidRDefault="009B1D6F" w:rsidP="00D10737">
      <w:pPr>
        <w:jc w:val="both"/>
        <w:rPr>
          <w:sz w:val="22"/>
          <w:szCs w:val="22"/>
        </w:rPr>
      </w:pPr>
    </w:p>
    <w:p w:rsidR="009B1D6F" w:rsidRDefault="002364E2" w:rsidP="00D10737">
      <w:pPr>
        <w:jc w:val="both"/>
        <w:rPr>
          <w:sz w:val="22"/>
          <w:szCs w:val="22"/>
        </w:rPr>
      </w:pPr>
      <w:r>
        <w:rPr>
          <w:sz w:val="22"/>
          <w:szCs w:val="22"/>
        </w:rPr>
        <w:t>4</w:t>
      </w:r>
      <w:r w:rsidR="009B1D6F">
        <w:rPr>
          <w:sz w:val="22"/>
          <w:szCs w:val="22"/>
        </w:rPr>
        <w:t xml:space="preserve">.4 Place funding for </w:t>
      </w:r>
      <w:r w:rsidR="00150971">
        <w:rPr>
          <w:sz w:val="22"/>
          <w:szCs w:val="22"/>
        </w:rPr>
        <w:t xml:space="preserve">Bradford’s </w:t>
      </w:r>
      <w:r w:rsidR="00FB71B4">
        <w:rPr>
          <w:sz w:val="22"/>
          <w:szCs w:val="22"/>
        </w:rPr>
        <w:t xml:space="preserve">School-led </w:t>
      </w:r>
      <w:r w:rsidR="00084624">
        <w:rPr>
          <w:sz w:val="22"/>
          <w:szCs w:val="22"/>
        </w:rPr>
        <w:t xml:space="preserve">resourced </w:t>
      </w:r>
      <w:r w:rsidR="00FB71B4">
        <w:rPr>
          <w:sz w:val="22"/>
          <w:szCs w:val="22"/>
        </w:rPr>
        <w:t>provisions (</w:t>
      </w:r>
      <w:r w:rsidR="00D32B81">
        <w:rPr>
          <w:sz w:val="22"/>
          <w:szCs w:val="22"/>
        </w:rPr>
        <w:t xml:space="preserve">formerly known as </w:t>
      </w:r>
      <w:r w:rsidR="00FB71B4">
        <w:rPr>
          <w:sz w:val="22"/>
          <w:szCs w:val="22"/>
        </w:rPr>
        <w:t xml:space="preserve">DSPs), </w:t>
      </w:r>
      <w:r w:rsidR="00020421">
        <w:rPr>
          <w:sz w:val="22"/>
          <w:szCs w:val="22"/>
        </w:rPr>
        <w:t>Early Years Enhanced Provisions</w:t>
      </w:r>
      <w:r w:rsidR="00FB71B4">
        <w:rPr>
          <w:sz w:val="22"/>
          <w:szCs w:val="22"/>
        </w:rPr>
        <w:t xml:space="preserve"> (EYESP)</w:t>
      </w:r>
      <w:r w:rsidR="00744F2E">
        <w:rPr>
          <w:sz w:val="22"/>
          <w:szCs w:val="22"/>
        </w:rPr>
        <w:t>,</w:t>
      </w:r>
      <w:r w:rsidR="00150971">
        <w:rPr>
          <w:sz w:val="22"/>
          <w:szCs w:val="22"/>
        </w:rPr>
        <w:t xml:space="preserve"> and for post 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sidR="00084624">
        <w:rPr>
          <w:sz w:val="22"/>
          <w:szCs w:val="22"/>
        </w:rPr>
        <w:t>4</w:t>
      </w:r>
      <w:r w:rsidR="00FB1E72">
        <w:rPr>
          <w:sz w:val="22"/>
          <w:szCs w:val="22"/>
        </w:rPr>
        <w:t>.3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w:t>
      </w:r>
      <w:r w:rsidR="002D7E38">
        <w:rPr>
          <w:sz w:val="22"/>
          <w:szCs w:val="22"/>
        </w:rPr>
        <w:t>, unlike special schools,</w:t>
      </w:r>
      <w:r w:rsidR="00150971">
        <w:rPr>
          <w:sz w:val="22"/>
          <w:szCs w:val="22"/>
        </w:rPr>
        <w:t xml:space="preserve"> already receive formula funding, which allocates</w:t>
      </w:r>
      <w:r w:rsidR="006E7301">
        <w:rPr>
          <w:sz w:val="22"/>
          <w:szCs w:val="22"/>
        </w:rPr>
        <w:t xml:space="preserve"> the first element of place funding</w:t>
      </w:r>
      <w:r w:rsidR="00150971">
        <w:rPr>
          <w:sz w:val="22"/>
          <w:szCs w:val="22"/>
        </w:rPr>
        <w:t xml:space="preserve"> </w:t>
      </w:r>
      <w:r w:rsidR="006E7301">
        <w:rPr>
          <w:sz w:val="22"/>
          <w:szCs w:val="22"/>
        </w:rPr>
        <w:t>(</w:t>
      </w:r>
      <w:r w:rsidR="0027461F">
        <w:rPr>
          <w:sz w:val="22"/>
          <w:szCs w:val="22"/>
        </w:rPr>
        <w:t xml:space="preserve">known as </w:t>
      </w:r>
      <w:r w:rsidR="00150971">
        <w:rPr>
          <w:sz w:val="22"/>
          <w:szCs w:val="22"/>
        </w:rPr>
        <w:t>element 1</w:t>
      </w:r>
      <w:r w:rsidR="006E7301">
        <w:rPr>
          <w:sz w:val="22"/>
          <w:szCs w:val="22"/>
        </w:rPr>
        <w:t>)</w:t>
      </w:r>
      <w:r w:rsidR="00150971">
        <w:rPr>
          <w:sz w:val="22"/>
          <w:szCs w:val="22"/>
        </w:rPr>
        <w:t>. To explain then, how place funding is split into 2 parts</w:t>
      </w:r>
      <w:r w:rsidR="006E0B09">
        <w:rPr>
          <w:sz w:val="22"/>
          <w:szCs w:val="22"/>
        </w:rPr>
        <w:t xml:space="preserve"> in the national system</w:t>
      </w:r>
      <w:r w:rsidR="00150971">
        <w:rPr>
          <w:sz w:val="22"/>
          <w:szCs w:val="22"/>
        </w:rPr>
        <w:t>:</w:t>
      </w:r>
    </w:p>
    <w:p w:rsidR="00156D01" w:rsidRDefault="00156D01" w:rsidP="001B416B">
      <w:pPr>
        <w:jc w:val="both"/>
        <w:rPr>
          <w:sz w:val="22"/>
          <w:szCs w:val="22"/>
        </w:rPr>
      </w:pPr>
    </w:p>
    <w:p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aged pre-16, which is the defined value of funding that all pupils attract </w:t>
      </w:r>
      <w:r w:rsidR="00150971">
        <w:rPr>
          <w:sz w:val="22"/>
          <w:szCs w:val="22"/>
        </w:rPr>
        <w:t xml:space="preserve">and which has already been allocated </w:t>
      </w:r>
      <w:r>
        <w:rPr>
          <w:sz w:val="22"/>
          <w:szCs w:val="22"/>
        </w:rPr>
        <w:t xml:space="preserve">within </w:t>
      </w:r>
      <w:r w:rsidR="00150971">
        <w:rPr>
          <w:sz w:val="22"/>
          <w:szCs w:val="22"/>
        </w:rPr>
        <w:t xml:space="preserve">the </w:t>
      </w:r>
      <w:r>
        <w:rPr>
          <w:sz w:val="22"/>
          <w:szCs w:val="22"/>
        </w:rPr>
        <w:t>pre-16 funding</w:t>
      </w:r>
      <w:r w:rsidR="00150971">
        <w:rPr>
          <w:sz w:val="22"/>
          <w:szCs w:val="22"/>
        </w:rPr>
        <w:t xml:space="preserve"> formula</w:t>
      </w:r>
      <w:r w:rsidR="005714A4">
        <w:rPr>
          <w:sz w:val="22"/>
          <w:szCs w:val="22"/>
        </w:rPr>
        <w:t xml:space="preserve"> or Early Years Single Funding Formula</w:t>
      </w:r>
      <w:r w:rsidR="0040191E">
        <w:rPr>
          <w:sz w:val="22"/>
          <w:szCs w:val="22"/>
        </w:rPr>
        <w:t xml:space="preserve"> (EYSFF)</w:t>
      </w:r>
      <w:r w:rsidR="00D27E3C">
        <w:rPr>
          <w:sz w:val="22"/>
          <w:szCs w:val="22"/>
        </w:rPr>
        <w:t xml:space="preserve"> for an institution’s core costs</w:t>
      </w:r>
      <w:r>
        <w:rPr>
          <w:sz w:val="22"/>
          <w:szCs w:val="22"/>
        </w:rPr>
        <w:t>.</w:t>
      </w:r>
      <w:r w:rsidR="00C42D97">
        <w:rPr>
          <w:sz w:val="22"/>
          <w:szCs w:val="22"/>
        </w:rPr>
        <w:t xml:space="preserve"> This formula allocation is derived from the annual October Census</w:t>
      </w:r>
      <w:r w:rsidR="00D75FE0">
        <w:rPr>
          <w:sz w:val="22"/>
          <w:szCs w:val="22"/>
        </w:rPr>
        <w:t xml:space="preserve"> (pre-16 formula) and from the 3 termly census</w:t>
      </w:r>
      <w:r w:rsidR="002558CC">
        <w:rPr>
          <w:sz w:val="22"/>
          <w:szCs w:val="22"/>
        </w:rPr>
        <w:t>es</w:t>
      </w:r>
      <w:r w:rsidR="00D75FE0">
        <w:rPr>
          <w:sz w:val="22"/>
          <w:szCs w:val="22"/>
        </w:rPr>
        <w:t xml:space="preserve"> (EYSFF)</w:t>
      </w:r>
      <w:r w:rsidR="00C42D97">
        <w:rPr>
          <w:sz w:val="22"/>
          <w:szCs w:val="22"/>
        </w:rPr>
        <w:t>.</w:t>
      </w:r>
      <w:r>
        <w:rPr>
          <w:sz w:val="22"/>
          <w:szCs w:val="22"/>
        </w:rPr>
        <w:t xml:space="preserve"> For post 16 students, this element 1 is derived from the national post 16 funding formula and typically is greater than £4,000</w:t>
      </w:r>
      <w:r w:rsidR="003D228D">
        <w:rPr>
          <w:sz w:val="22"/>
          <w:szCs w:val="22"/>
        </w:rPr>
        <w:t xml:space="preserve"> (notionally defined at £5,2</w:t>
      </w:r>
      <w:r w:rsidR="006051C3">
        <w:rPr>
          <w:sz w:val="22"/>
          <w:szCs w:val="22"/>
        </w:rPr>
        <w:t>00)</w:t>
      </w:r>
      <w:r>
        <w:rPr>
          <w:sz w:val="22"/>
          <w:szCs w:val="22"/>
        </w:rPr>
        <w:t>.</w:t>
      </w:r>
      <w:r w:rsidR="00C42D97">
        <w:rPr>
          <w:sz w:val="22"/>
          <w:szCs w:val="22"/>
        </w:rPr>
        <w:t xml:space="preserve"> Element 1 </w:t>
      </w:r>
      <w:r w:rsidR="00E45B76">
        <w:rPr>
          <w:sz w:val="22"/>
          <w:szCs w:val="22"/>
        </w:rPr>
        <w:t xml:space="preserve">across </w:t>
      </w:r>
      <w:r w:rsidR="00C42D97">
        <w:rPr>
          <w:sz w:val="22"/>
          <w:szCs w:val="22"/>
        </w:rPr>
        <w:t>the post 16 sector is funded with a year’s lag in pupil numbers.</w:t>
      </w:r>
      <w:r w:rsidR="0048720B">
        <w:rPr>
          <w:sz w:val="22"/>
          <w:szCs w:val="22"/>
        </w:rPr>
        <w:t xml:space="preserve"> For example, the total allocation of</w:t>
      </w:r>
      <w:r w:rsidR="00FF772B">
        <w:rPr>
          <w:sz w:val="22"/>
          <w:szCs w:val="22"/>
        </w:rPr>
        <w:t xml:space="preserve"> element 1 for the 2020/21</w:t>
      </w:r>
      <w:r w:rsidR="0048720B">
        <w:rPr>
          <w:sz w:val="22"/>
          <w:szCs w:val="22"/>
        </w:rPr>
        <w:t xml:space="preserve"> academic year will be based on the numb</w:t>
      </w:r>
      <w:r w:rsidR="00FF772B">
        <w:rPr>
          <w:sz w:val="22"/>
          <w:szCs w:val="22"/>
        </w:rPr>
        <w:t>er of students recruited in 2019/20</w:t>
      </w:r>
      <w:r w:rsidR="0048720B">
        <w:rPr>
          <w:sz w:val="22"/>
          <w:szCs w:val="22"/>
        </w:rPr>
        <w:t>.</w:t>
      </w:r>
    </w:p>
    <w:p w:rsidR="00156D01" w:rsidRDefault="00156D01" w:rsidP="00156D01">
      <w:pPr>
        <w:ind w:left="360"/>
        <w:jc w:val="both"/>
        <w:rPr>
          <w:sz w:val="22"/>
          <w:szCs w:val="22"/>
        </w:rPr>
      </w:pPr>
    </w:p>
    <w:p w:rsidR="00156D01" w:rsidRDefault="00156D01" w:rsidP="00156D01">
      <w:pPr>
        <w:numPr>
          <w:ilvl w:val="0"/>
          <w:numId w:val="3"/>
        </w:numPr>
        <w:tabs>
          <w:tab w:val="num" w:pos="360"/>
        </w:tabs>
        <w:jc w:val="both"/>
        <w:rPr>
          <w:sz w:val="22"/>
          <w:szCs w:val="22"/>
        </w:rPr>
      </w:pPr>
      <w:r>
        <w:rPr>
          <w:sz w:val="22"/>
          <w:szCs w:val="22"/>
        </w:rPr>
        <w:t>Element 2: a further £6,000 for additional needs, which</w:t>
      </w:r>
      <w:r w:rsidR="002A3059">
        <w:rPr>
          <w:sz w:val="22"/>
          <w:szCs w:val="22"/>
        </w:rPr>
        <w:t xml:space="preserve"> is not already allocated</w:t>
      </w:r>
      <w:r>
        <w:rPr>
          <w:sz w:val="22"/>
          <w:szCs w:val="22"/>
        </w:rPr>
        <w:t>:</w:t>
      </w:r>
    </w:p>
    <w:p w:rsidR="00156D01" w:rsidRDefault="00156D01" w:rsidP="00FB1E72">
      <w:pPr>
        <w:jc w:val="both"/>
        <w:rPr>
          <w:sz w:val="22"/>
          <w:szCs w:val="22"/>
        </w:rPr>
      </w:pPr>
    </w:p>
    <w:p w:rsidR="00156D01" w:rsidRDefault="00150971" w:rsidP="00156D01">
      <w:pPr>
        <w:numPr>
          <w:ilvl w:val="1"/>
          <w:numId w:val="3"/>
        </w:numPr>
        <w:jc w:val="both"/>
        <w:rPr>
          <w:sz w:val="22"/>
          <w:szCs w:val="22"/>
        </w:rPr>
      </w:pPr>
      <w:r>
        <w:rPr>
          <w:sz w:val="22"/>
          <w:szCs w:val="22"/>
        </w:rPr>
        <w:t>within the formula funding received by</w:t>
      </w:r>
      <w:r w:rsidR="00156D01">
        <w:rPr>
          <w:sz w:val="22"/>
          <w:szCs w:val="22"/>
        </w:rPr>
        <w:t xml:space="preserve"> </w:t>
      </w:r>
      <w:r>
        <w:rPr>
          <w:sz w:val="22"/>
          <w:szCs w:val="22"/>
        </w:rPr>
        <w:t xml:space="preserve">Bradford’s </w:t>
      </w:r>
      <w:r w:rsidR="00156D01">
        <w:rPr>
          <w:sz w:val="22"/>
          <w:szCs w:val="22"/>
        </w:rPr>
        <w:t xml:space="preserve">mainstream schools and academies that have </w:t>
      </w:r>
      <w:r w:rsidR="00973F70">
        <w:rPr>
          <w:sz w:val="22"/>
          <w:szCs w:val="22"/>
        </w:rPr>
        <w:t xml:space="preserve">School-led </w:t>
      </w:r>
      <w:r w:rsidR="003D228D">
        <w:rPr>
          <w:sz w:val="22"/>
          <w:szCs w:val="22"/>
        </w:rPr>
        <w:t xml:space="preserve">resourced provisions </w:t>
      </w:r>
      <w:r>
        <w:rPr>
          <w:sz w:val="22"/>
          <w:szCs w:val="22"/>
        </w:rPr>
        <w:t>where local authorities commission high needs places.</w:t>
      </w:r>
    </w:p>
    <w:p w:rsidR="006E7301" w:rsidRDefault="006E7301" w:rsidP="006E7301">
      <w:pPr>
        <w:pStyle w:val="ListParagraph"/>
        <w:rPr>
          <w:sz w:val="22"/>
          <w:szCs w:val="22"/>
        </w:rPr>
      </w:pPr>
    </w:p>
    <w:p w:rsidR="006E7301" w:rsidRPr="006E7301" w:rsidRDefault="006E7301" w:rsidP="006E7301">
      <w:pPr>
        <w:numPr>
          <w:ilvl w:val="1"/>
          <w:numId w:val="3"/>
        </w:numPr>
        <w:jc w:val="both"/>
        <w:rPr>
          <w:sz w:val="22"/>
          <w:szCs w:val="22"/>
        </w:rPr>
      </w:pPr>
      <w:r>
        <w:rPr>
          <w:sz w:val="22"/>
          <w:szCs w:val="22"/>
        </w:rPr>
        <w:t>within the formula funding received by Bradford’s maintained nursery s</w:t>
      </w:r>
      <w:r w:rsidR="003D228D">
        <w:rPr>
          <w:sz w:val="22"/>
          <w:szCs w:val="22"/>
        </w:rPr>
        <w:t>chools that have resourced provisions</w:t>
      </w:r>
      <w:r>
        <w:rPr>
          <w:sz w:val="22"/>
          <w:szCs w:val="22"/>
        </w:rPr>
        <w:t xml:space="preserve"> where local authorities commission high needs places.</w:t>
      </w:r>
      <w:r w:rsidR="001A6741">
        <w:rPr>
          <w:sz w:val="22"/>
          <w:szCs w:val="22"/>
        </w:rPr>
        <w:t xml:space="preserve"> £6,000 is the value for 1 FTE place. Therefore, a 15 hour place = 0.6 FTE (£3,600) and a 30 hour place = 1.2 FTE (£7,200).</w:t>
      </w:r>
    </w:p>
    <w:p w:rsidR="00156D01" w:rsidRDefault="00156D01" w:rsidP="00156D01">
      <w:pPr>
        <w:pStyle w:val="ListParagraph"/>
        <w:rPr>
          <w:sz w:val="22"/>
          <w:szCs w:val="22"/>
        </w:rPr>
      </w:pPr>
    </w:p>
    <w:p w:rsidR="00156D01" w:rsidRDefault="00150971" w:rsidP="00156D01">
      <w:pPr>
        <w:numPr>
          <w:ilvl w:val="1"/>
          <w:numId w:val="3"/>
        </w:numPr>
        <w:jc w:val="both"/>
        <w:rPr>
          <w:sz w:val="22"/>
          <w:szCs w:val="22"/>
        </w:rPr>
      </w:pPr>
      <w:r>
        <w:rPr>
          <w:sz w:val="22"/>
          <w:szCs w:val="22"/>
        </w:rPr>
        <w:t xml:space="preserve">within the formula funding received by Bradford’s </w:t>
      </w:r>
      <w:r w:rsidR="00156D01">
        <w:rPr>
          <w:sz w:val="22"/>
          <w:szCs w:val="22"/>
        </w:rPr>
        <w:t xml:space="preserve">Further Education Colleges </w:t>
      </w:r>
      <w:r>
        <w:rPr>
          <w:sz w:val="22"/>
          <w:szCs w:val="22"/>
        </w:rPr>
        <w:t>where local authorities commission high needs places</w:t>
      </w:r>
      <w:r w:rsidR="00582C07">
        <w:rPr>
          <w:sz w:val="22"/>
          <w:szCs w:val="22"/>
        </w:rPr>
        <w:t xml:space="preserve"> post 16</w:t>
      </w:r>
      <w:r>
        <w:rPr>
          <w:sz w:val="22"/>
          <w:szCs w:val="22"/>
        </w:rPr>
        <w:t>.</w:t>
      </w:r>
    </w:p>
    <w:p w:rsidR="00156D01" w:rsidRDefault="00156D01" w:rsidP="00156D01">
      <w:pPr>
        <w:jc w:val="both"/>
        <w:rPr>
          <w:sz w:val="22"/>
          <w:szCs w:val="22"/>
        </w:rPr>
      </w:pPr>
    </w:p>
    <w:p w:rsidR="00FB1E72" w:rsidRDefault="002364E2" w:rsidP="00156D01">
      <w:pPr>
        <w:jc w:val="both"/>
        <w:rPr>
          <w:sz w:val="22"/>
          <w:szCs w:val="22"/>
        </w:rPr>
      </w:pPr>
      <w:r>
        <w:rPr>
          <w:sz w:val="22"/>
          <w:szCs w:val="22"/>
        </w:rPr>
        <w:t>4</w:t>
      </w:r>
      <w:r w:rsidR="002A3059">
        <w:rPr>
          <w:sz w:val="22"/>
          <w:szCs w:val="22"/>
        </w:rPr>
        <w:t xml:space="preserve">.5 The national funding system includes an additional complexity in the calculation of place funding for </w:t>
      </w:r>
      <w:r w:rsidR="00FB71B4">
        <w:rPr>
          <w:sz w:val="22"/>
          <w:szCs w:val="22"/>
        </w:rPr>
        <w:t xml:space="preserve">School-led </w:t>
      </w:r>
      <w:r w:rsidR="003D228D">
        <w:rPr>
          <w:sz w:val="22"/>
          <w:szCs w:val="22"/>
        </w:rPr>
        <w:t>resourced provisions</w:t>
      </w:r>
      <w:r w:rsidR="002A3059">
        <w:rPr>
          <w:sz w:val="22"/>
          <w:szCs w:val="22"/>
        </w:rPr>
        <w:t xml:space="preserve"> in mainstream primary and secondary schools and academies. The value of a place is set at £6,000 </w:t>
      </w:r>
      <w:r w:rsidR="002D7E38">
        <w:rPr>
          <w:sz w:val="22"/>
          <w:szCs w:val="22"/>
        </w:rPr>
        <w:t>where that</w:t>
      </w:r>
      <w:r w:rsidR="002A3059">
        <w:rPr>
          <w:sz w:val="22"/>
          <w:szCs w:val="22"/>
        </w:rPr>
        <w:t xml:space="preserve"> p</w:t>
      </w:r>
      <w:r w:rsidR="00A77554">
        <w:rPr>
          <w:sz w:val="22"/>
          <w:szCs w:val="22"/>
        </w:rPr>
        <w:t>lace wa</w:t>
      </w:r>
      <w:r w:rsidR="002A3059">
        <w:rPr>
          <w:sz w:val="22"/>
          <w:szCs w:val="22"/>
        </w:rPr>
        <w:t xml:space="preserve">s </w:t>
      </w:r>
      <w:r w:rsidR="006B32C2">
        <w:rPr>
          <w:sz w:val="22"/>
          <w:szCs w:val="22"/>
        </w:rPr>
        <w:t>occupied</w:t>
      </w:r>
      <w:r w:rsidR="002A3059">
        <w:rPr>
          <w:sz w:val="22"/>
          <w:szCs w:val="22"/>
        </w:rPr>
        <w:t xml:space="preserve"> at the time the October Census</w:t>
      </w:r>
      <w:r w:rsidR="00A77554">
        <w:rPr>
          <w:sz w:val="22"/>
          <w:szCs w:val="22"/>
        </w:rPr>
        <w:t xml:space="preserve"> in the previous year wa</w:t>
      </w:r>
      <w:r w:rsidR="002A3059">
        <w:rPr>
          <w:sz w:val="22"/>
          <w:szCs w:val="22"/>
        </w:rPr>
        <w:t>s taken. Where a place is not occupied at this Census, local authorities are required to fund this place at £10,000</w:t>
      </w:r>
      <w:r w:rsidR="008733F4">
        <w:rPr>
          <w:sz w:val="22"/>
          <w:szCs w:val="22"/>
        </w:rPr>
        <w:t xml:space="preserve"> i.e. an additional £4,000</w:t>
      </w:r>
      <w:r w:rsidR="0062430D">
        <w:rPr>
          <w:sz w:val="22"/>
          <w:szCs w:val="22"/>
        </w:rPr>
        <w:t xml:space="preserve"> in the following year</w:t>
      </w:r>
      <w:r w:rsidR="002A3059">
        <w:rPr>
          <w:sz w:val="22"/>
          <w:szCs w:val="22"/>
        </w:rPr>
        <w:t>. This is because the school or academy will not receive element 1 funding for this place in the following fi</w:t>
      </w:r>
      <w:r w:rsidR="00B83D45">
        <w:rPr>
          <w:sz w:val="22"/>
          <w:szCs w:val="22"/>
        </w:rPr>
        <w:t>nancial year in</w:t>
      </w:r>
      <w:r w:rsidR="002A3059">
        <w:rPr>
          <w:sz w:val="22"/>
          <w:szCs w:val="22"/>
        </w:rPr>
        <w:t xml:space="preserve"> its </w:t>
      </w:r>
      <w:r w:rsidR="002D7E38">
        <w:rPr>
          <w:sz w:val="22"/>
          <w:szCs w:val="22"/>
        </w:rPr>
        <w:t xml:space="preserve">main </w:t>
      </w:r>
      <w:r w:rsidR="002A3059">
        <w:rPr>
          <w:sz w:val="22"/>
          <w:szCs w:val="22"/>
        </w:rPr>
        <w:t>formula funding.</w:t>
      </w:r>
      <w:r w:rsidR="00B42C6D">
        <w:rPr>
          <w:sz w:val="22"/>
          <w:szCs w:val="22"/>
        </w:rPr>
        <w:t xml:space="preserve"> For maintained nursery schools, an adjustment i</w:t>
      </w:r>
      <w:r w:rsidR="00320CF3">
        <w:rPr>
          <w:sz w:val="22"/>
          <w:szCs w:val="22"/>
        </w:rPr>
        <w:t>s made to the termly funding allocated via</w:t>
      </w:r>
      <w:r w:rsidR="00B42C6D">
        <w:rPr>
          <w:sz w:val="22"/>
          <w:szCs w:val="22"/>
        </w:rPr>
        <w:t xml:space="preserve"> the EYSFF to add elem</w:t>
      </w:r>
      <w:r w:rsidR="002D7E38">
        <w:rPr>
          <w:sz w:val="22"/>
          <w:szCs w:val="22"/>
        </w:rPr>
        <w:t>ent 1 funding for the resourced</w:t>
      </w:r>
      <w:r w:rsidR="00B42C6D">
        <w:rPr>
          <w:sz w:val="22"/>
          <w:szCs w:val="22"/>
        </w:rPr>
        <w:t xml:space="preserve"> places that are not occupied where these are being held open by the school.</w:t>
      </w:r>
      <w:r w:rsidR="008733F4">
        <w:rPr>
          <w:sz w:val="22"/>
          <w:szCs w:val="22"/>
        </w:rPr>
        <w:t xml:space="preserve"> </w:t>
      </w:r>
    </w:p>
    <w:p w:rsidR="00084624" w:rsidRDefault="00084624" w:rsidP="00156D01">
      <w:pPr>
        <w:jc w:val="both"/>
        <w:rPr>
          <w:sz w:val="22"/>
          <w:szCs w:val="22"/>
        </w:rPr>
      </w:pPr>
    </w:p>
    <w:p w:rsidR="00084624" w:rsidRPr="002D7E38" w:rsidRDefault="00084624" w:rsidP="00156D01">
      <w:pPr>
        <w:jc w:val="both"/>
        <w:rPr>
          <w:sz w:val="22"/>
          <w:szCs w:val="22"/>
        </w:rPr>
      </w:pPr>
      <w:r w:rsidRPr="002D7E38">
        <w:rPr>
          <w:sz w:val="22"/>
          <w:szCs w:val="22"/>
        </w:rPr>
        <w:t xml:space="preserve">4.6 </w:t>
      </w:r>
      <w:r w:rsidR="002D7E38" w:rsidRPr="002D7E38">
        <w:rPr>
          <w:sz w:val="22"/>
          <w:szCs w:val="22"/>
        </w:rPr>
        <w:t xml:space="preserve">Place funding for Bradford’s Local </w:t>
      </w:r>
      <w:r w:rsidR="00450FF6">
        <w:rPr>
          <w:sz w:val="22"/>
          <w:szCs w:val="22"/>
        </w:rPr>
        <w:t>Authority-</w:t>
      </w:r>
      <w:r w:rsidR="002D7E38" w:rsidRPr="002D7E38">
        <w:rPr>
          <w:sz w:val="22"/>
          <w:szCs w:val="22"/>
        </w:rPr>
        <w:t>led resourced provisions (</w:t>
      </w:r>
      <w:r w:rsidR="00450FF6">
        <w:rPr>
          <w:sz w:val="22"/>
          <w:szCs w:val="22"/>
        </w:rPr>
        <w:t xml:space="preserve">existing provisions were </w:t>
      </w:r>
      <w:r w:rsidR="002D7E38" w:rsidRPr="002D7E38">
        <w:rPr>
          <w:sz w:val="22"/>
          <w:szCs w:val="22"/>
        </w:rPr>
        <w:t>formerly known as ARCs), operates</w:t>
      </w:r>
      <w:r w:rsidR="00450FF6">
        <w:rPr>
          <w:sz w:val="22"/>
          <w:szCs w:val="22"/>
        </w:rPr>
        <w:t xml:space="preserve"> on the same basic principles</w:t>
      </w:r>
      <w:r w:rsidR="002D7E38" w:rsidRPr="002D7E38">
        <w:rPr>
          <w:sz w:val="22"/>
          <w:szCs w:val="22"/>
        </w:rPr>
        <w:t xml:space="preserve"> as for School-led provisions, but with a couple of technical differences relating to the fact that the Lo</w:t>
      </w:r>
      <w:r w:rsidR="0062430D">
        <w:rPr>
          <w:sz w:val="22"/>
          <w:szCs w:val="22"/>
        </w:rPr>
        <w:t>cal Authority retains Elements 2 and 3</w:t>
      </w:r>
      <w:r w:rsidR="002D7E38" w:rsidRPr="002D7E38">
        <w:rPr>
          <w:sz w:val="22"/>
          <w:szCs w:val="22"/>
        </w:rPr>
        <w:t>, whereas for School-led provisions these Elements are delegated and retained by the school. These technical differences are highlighted in Appendix 1.</w:t>
      </w:r>
    </w:p>
    <w:p w:rsidR="00FB71B4" w:rsidRDefault="00FB71B4" w:rsidP="00B351ED">
      <w:pPr>
        <w:jc w:val="both"/>
        <w:rPr>
          <w:sz w:val="22"/>
          <w:szCs w:val="22"/>
        </w:rPr>
      </w:pPr>
    </w:p>
    <w:p w:rsidR="00B42C6D" w:rsidRDefault="002364E2" w:rsidP="00B351ED">
      <w:pPr>
        <w:jc w:val="both"/>
        <w:rPr>
          <w:sz w:val="22"/>
          <w:szCs w:val="22"/>
        </w:rPr>
      </w:pPr>
      <w:r>
        <w:rPr>
          <w:sz w:val="22"/>
          <w:szCs w:val="22"/>
        </w:rPr>
        <w:t>4</w:t>
      </w:r>
      <w:r w:rsidR="00973F70">
        <w:rPr>
          <w:sz w:val="22"/>
          <w:szCs w:val="22"/>
        </w:rPr>
        <w:t>.7</w:t>
      </w:r>
      <w:r w:rsidR="00B42C6D">
        <w:rPr>
          <w:sz w:val="22"/>
          <w:szCs w:val="22"/>
        </w:rPr>
        <w:t xml:space="preserve"> The physical payment of place funding by Bradford Council</w:t>
      </w:r>
      <w:r w:rsidR="00450FF6">
        <w:rPr>
          <w:sz w:val="22"/>
          <w:szCs w:val="22"/>
        </w:rPr>
        <w:t>, where this is delegated</w:t>
      </w:r>
      <w:r w:rsidR="009F276D">
        <w:rPr>
          <w:sz w:val="22"/>
          <w:szCs w:val="22"/>
        </w:rPr>
        <w:t xml:space="preserve"> and is the Council’s responsibility to pay</w:t>
      </w:r>
      <w:r w:rsidR="00450FF6">
        <w:rPr>
          <w:sz w:val="22"/>
          <w:szCs w:val="22"/>
        </w:rPr>
        <w:t>,</w:t>
      </w:r>
      <w:r w:rsidR="00B42C6D">
        <w:rPr>
          <w:sz w:val="22"/>
          <w:szCs w:val="22"/>
        </w:rPr>
        <w:t xml:space="preserve"> takes place on a monthly basis and is combined with the monthly payment of top-up funding, which is </w:t>
      </w:r>
      <w:r w:rsidR="00E35B58">
        <w:rPr>
          <w:sz w:val="22"/>
          <w:szCs w:val="22"/>
        </w:rPr>
        <w:t>descr</w:t>
      </w:r>
      <w:r w:rsidR="00FB71B4">
        <w:rPr>
          <w:sz w:val="22"/>
          <w:szCs w:val="22"/>
        </w:rPr>
        <w:t>ibed</w:t>
      </w:r>
      <w:r w:rsidR="00450FF6">
        <w:rPr>
          <w:sz w:val="22"/>
          <w:szCs w:val="22"/>
        </w:rPr>
        <w:t xml:space="preserve"> further</w:t>
      </w:r>
      <w:r w:rsidR="00FB71B4">
        <w:rPr>
          <w:sz w:val="22"/>
          <w:szCs w:val="22"/>
        </w:rPr>
        <w:t xml:space="preserve"> in paragraph</w:t>
      </w:r>
      <w:r w:rsidR="009F276D">
        <w:rPr>
          <w:sz w:val="22"/>
          <w:szCs w:val="22"/>
        </w:rPr>
        <w:t>s</w:t>
      </w:r>
      <w:r w:rsidR="00FB71B4">
        <w:rPr>
          <w:sz w:val="22"/>
          <w:szCs w:val="22"/>
        </w:rPr>
        <w:t xml:space="preserve"> 6</w:t>
      </w:r>
      <w:r w:rsidR="009F276D">
        <w:rPr>
          <w:sz w:val="22"/>
          <w:szCs w:val="22"/>
        </w:rPr>
        <w:t xml:space="preserve"> and 7</w:t>
      </w:r>
      <w:r w:rsidR="00B42C6D">
        <w:rPr>
          <w:sz w:val="22"/>
          <w:szCs w:val="22"/>
        </w:rPr>
        <w:t xml:space="preserve">. </w:t>
      </w:r>
      <w:r w:rsidR="00E35B58">
        <w:rPr>
          <w:sz w:val="22"/>
          <w:szCs w:val="22"/>
        </w:rPr>
        <w:t xml:space="preserve">Bradford Council </w:t>
      </w:r>
      <w:r w:rsidR="0062430D">
        <w:rPr>
          <w:sz w:val="22"/>
          <w:szCs w:val="22"/>
        </w:rPr>
        <w:t>publishes</w:t>
      </w:r>
      <w:r w:rsidR="00E35B58">
        <w:rPr>
          <w:sz w:val="22"/>
          <w:szCs w:val="22"/>
        </w:rPr>
        <w:t xml:space="preserve"> monthly funding statements for providers to access</w:t>
      </w:r>
      <w:r w:rsidR="00F952FE">
        <w:rPr>
          <w:sz w:val="22"/>
          <w:szCs w:val="22"/>
        </w:rPr>
        <w:t xml:space="preserve"> on Bradford Schools Online</w:t>
      </w:r>
      <w:r w:rsidR="00E35B58">
        <w:rPr>
          <w:sz w:val="22"/>
          <w:szCs w:val="22"/>
        </w:rPr>
        <w:t xml:space="preserve">. </w:t>
      </w:r>
      <w:r w:rsidR="00B42C6D">
        <w:rPr>
          <w:sz w:val="22"/>
          <w:szCs w:val="22"/>
        </w:rPr>
        <w:t xml:space="preserve">For some institutions, such as academies and Further Education Colleges, place funding is not directly allocated by Bradford Council. Instead, the Education Skills and Funding Agency (ESFA) deducts the place funding from the Council’s DSG to </w:t>
      </w:r>
      <w:r w:rsidR="00FB58E2">
        <w:rPr>
          <w:sz w:val="22"/>
          <w:szCs w:val="22"/>
        </w:rPr>
        <w:t>pay this</w:t>
      </w:r>
      <w:r w:rsidR="00F952FE">
        <w:rPr>
          <w:sz w:val="22"/>
          <w:szCs w:val="22"/>
        </w:rPr>
        <w:t xml:space="preserve"> across</w:t>
      </w:r>
      <w:r w:rsidR="00FB58E2">
        <w:rPr>
          <w:sz w:val="22"/>
          <w:szCs w:val="22"/>
        </w:rPr>
        <w:t xml:space="preserve"> directly</w:t>
      </w:r>
      <w:r w:rsidR="00F06C26">
        <w:rPr>
          <w:sz w:val="22"/>
          <w:szCs w:val="22"/>
        </w:rPr>
        <w:t>.</w:t>
      </w:r>
    </w:p>
    <w:p w:rsidR="00D57E25" w:rsidRDefault="00D57E25" w:rsidP="00B351ED">
      <w:pPr>
        <w:jc w:val="both"/>
        <w:rPr>
          <w:sz w:val="22"/>
          <w:szCs w:val="22"/>
        </w:rPr>
      </w:pPr>
    </w:p>
    <w:p w:rsidR="00B351ED" w:rsidRPr="00B351ED" w:rsidRDefault="002364E2" w:rsidP="00B351ED">
      <w:pPr>
        <w:jc w:val="both"/>
        <w:rPr>
          <w:sz w:val="22"/>
          <w:szCs w:val="22"/>
        </w:rPr>
      </w:pPr>
      <w:r>
        <w:rPr>
          <w:sz w:val="22"/>
          <w:szCs w:val="22"/>
        </w:rPr>
        <w:t>4</w:t>
      </w:r>
      <w:r w:rsidR="00774FFB">
        <w:rPr>
          <w:sz w:val="22"/>
          <w:szCs w:val="22"/>
        </w:rPr>
        <w:t>.</w:t>
      </w:r>
      <w:r w:rsidR="00973F70">
        <w:rPr>
          <w:sz w:val="22"/>
          <w:szCs w:val="22"/>
        </w:rPr>
        <w:t>8</w:t>
      </w:r>
      <w:r w:rsidR="00396A6B">
        <w:rPr>
          <w:sz w:val="22"/>
          <w:szCs w:val="22"/>
        </w:rPr>
        <w:t xml:space="preserve"> Mainstream primary and secondary schools and academies do not receive </w:t>
      </w:r>
      <w:r w:rsidR="00E00B30">
        <w:rPr>
          <w:sz w:val="22"/>
          <w:szCs w:val="22"/>
        </w:rPr>
        <w:t>additional</w:t>
      </w:r>
      <w:r w:rsidR="00396A6B">
        <w:rPr>
          <w:sz w:val="22"/>
          <w:szCs w:val="22"/>
        </w:rPr>
        <w:t xml:space="preserve"> place funding for children and young people that have EHCPs. The high need funding system works on the basis that 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 up to the threshold of £6,000</w:t>
      </w:r>
      <w:r w:rsidR="004B067A">
        <w:rPr>
          <w:sz w:val="22"/>
          <w:szCs w:val="22"/>
        </w:rPr>
        <w:t xml:space="preserve"> per pupil, </w:t>
      </w:r>
      <w:r w:rsidR="004B067A" w:rsidRPr="00D32B2B">
        <w:rPr>
          <w:sz w:val="22"/>
          <w:szCs w:val="22"/>
        </w:rPr>
        <w:t>using the</w:t>
      </w:r>
      <w:r w:rsidR="0095211E" w:rsidRPr="00D32B2B">
        <w:rPr>
          <w:sz w:val="22"/>
          <w:szCs w:val="22"/>
        </w:rPr>
        <w:t>ir</w:t>
      </w:r>
      <w:r w:rsidR="00396A6B" w:rsidRPr="00D32B2B">
        <w:rPr>
          <w:sz w:val="22"/>
          <w:szCs w:val="22"/>
        </w:rPr>
        <w:t xml:space="preserve"> </w:t>
      </w:r>
      <w:r w:rsidR="004B067A" w:rsidRPr="00D32B2B">
        <w:rPr>
          <w:sz w:val="22"/>
          <w:szCs w:val="22"/>
        </w:rPr>
        <w:t xml:space="preserve">funding </w:t>
      </w:r>
      <w:r w:rsidR="001A06E4" w:rsidRPr="00D32B2B">
        <w:rPr>
          <w:sz w:val="22"/>
          <w:szCs w:val="22"/>
        </w:rPr>
        <w:t>calculated on</w:t>
      </w:r>
      <w:r w:rsidR="004B067A" w:rsidRPr="00D32B2B">
        <w:rPr>
          <w:sz w:val="22"/>
          <w:szCs w:val="22"/>
        </w:rPr>
        <w:t xml:space="preserve"> measures of additional need such as Free School Meals, IDACI and prior low attainment. Local authorities are currently required to define for each primary and secondary school the value of </w:t>
      </w:r>
      <w:r w:rsidR="001A06E4" w:rsidRPr="00D32B2B">
        <w:rPr>
          <w:sz w:val="22"/>
          <w:szCs w:val="22"/>
        </w:rPr>
        <w:t xml:space="preserve">their </w:t>
      </w:r>
      <w:r w:rsidR="004B067A" w:rsidRPr="00D32B2B">
        <w:rPr>
          <w:sz w:val="22"/>
          <w:szCs w:val="22"/>
        </w:rPr>
        <w:t>formula funding that is ‘notionally’ allocated for SEND to be used in meeting the first £6,000 of needs for pupils with EHCPs, as well as the needs of pupils without EHCPs.</w:t>
      </w:r>
      <w:r w:rsidR="00B351ED" w:rsidRPr="00D32B2B">
        <w:rPr>
          <w:sz w:val="22"/>
          <w:szCs w:val="22"/>
        </w:rPr>
        <w:t xml:space="preserve"> </w:t>
      </w:r>
      <w:r w:rsidR="00240B56" w:rsidRPr="00D32B2B">
        <w:rPr>
          <w:sz w:val="22"/>
          <w:szCs w:val="22"/>
        </w:rPr>
        <w:t xml:space="preserve">The value of each school’s </w:t>
      </w:r>
      <w:r w:rsidR="00C77945" w:rsidRPr="00D32B2B">
        <w:rPr>
          <w:sz w:val="22"/>
          <w:szCs w:val="22"/>
        </w:rPr>
        <w:t>no</w:t>
      </w:r>
      <w:r w:rsidR="00240B56" w:rsidRPr="00D32B2B">
        <w:rPr>
          <w:sz w:val="22"/>
          <w:szCs w:val="22"/>
        </w:rPr>
        <w:t>tional SEND budget is clearly set out in the</w:t>
      </w:r>
      <w:r w:rsidR="00C77945" w:rsidRPr="00D32B2B">
        <w:rPr>
          <w:sz w:val="22"/>
          <w:szCs w:val="22"/>
        </w:rPr>
        <w:t xml:space="preserve"> annual S251</w:t>
      </w:r>
      <w:r w:rsidR="003D61BA" w:rsidRPr="00D32B2B">
        <w:rPr>
          <w:sz w:val="22"/>
          <w:szCs w:val="22"/>
        </w:rPr>
        <w:t xml:space="preserve"> statements Bradford</w:t>
      </w:r>
      <w:r w:rsidR="00240B56" w:rsidRPr="00D32B2B">
        <w:rPr>
          <w:sz w:val="22"/>
          <w:szCs w:val="22"/>
        </w:rPr>
        <w:t xml:space="preserve"> Council publishes.</w:t>
      </w:r>
      <w:r w:rsidR="004705CC" w:rsidRPr="00D32B2B">
        <w:rPr>
          <w:sz w:val="22"/>
          <w:szCs w:val="22"/>
        </w:rPr>
        <w:t xml:space="preserve"> Please </w:t>
      </w:r>
      <w:r w:rsidR="004705CC" w:rsidRPr="00F952FE">
        <w:rPr>
          <w:sz w:val="22"/>
          <w:szCs w:val="22"/>
        </w:rPr>
        <w:t xml:space="preserve">see Appendix </w:t>
      </w:r>
      <w:r w:rsidR="00F952FE" w:rsidRPr="00F952FE">
        <w:rPr>
          <w:sz w:val="22"/>
          <w:szCs w:val="22"/>
        </w:rPr>
        <w:t>4 for more technical information</w:t>
      </w:r>
      <w:r w:rsidR="004705CC" w:rsidRPr="00F952FE">
        <w:rPr>
          <w:sz w:val="22"/>
          <w:szCs w:val="22"/>
        </w:rPr>
        <w:t xml:space="preserve">. </w:t>
      </w:r>
      <w:r w:rsidR="00240B56" w:rsidRPr="00F952FE">
        <w:rPr>
          <w:sz w:val="22"/>
          <w:szCs w:val="22"/>
        </w:rPr>
        <w:t xml:space="preserve"> </w:t>
      </w:r>
      <w:r w:rsidR="00B351ED" w:rsidRPr="00F952FE">
        <w:rPr>
          <w:sz w:val="22"/>
          <w:szCs w:val="22"/>
        </w:rPr>
        <w:t>A separate ‘SEN</w:t>
      </w:r>
      <w:r w:rsidR="001A06E4" w:rsidRPr="00F952FE">
        <w:rPr>
          <w:sz w:val="22"/>
          <w:szCs w:val="22"/>
        </w:rPr>
        <w:t>D</w:t>
      </w:r>
      <w:r w:rsidR="00B351ED" w:rsidRPr="00F952FE">
        <w:rPr>
          <w:sz w:val="22"/>
          <w:szCs w:val="22"/>
        </w:rPr>
        <w:t xml:space="preserve"> Floor’ mechanism in our approach </w:t>
      </w:r>
      <w:r w:rsidR="001A06E4" w:rsidRPr="00F952FE">
        <w:rPr>
          <w:sz w:val="22"/>
          <w:szCs w:val="22"/>
        </w:rPr>
        <w:t xml:space="preserve">currently </w:t>
      </w:r>
      <w:r w:rsidR="00B351ED" w:rsidRPr="00F952FE">
        <w:rPr>
          <w:sz w:val="22"/>
          <w:szCs w:val="22"/>
        </w:rPr>
        <w:t xml:space="preserve">ensures that all </w:t>
      </w:r>
      <w:r w:rsidR="006059A2" w:rsidRPr="00F952FE">
        <w:rPr>
          <w:sz w:val="22"/>
          <w:szCs w:val="22"/>
        </w:rPr>
        <w:t>mainstream primary and secondary schools and academies</w:t>
      </w:r>
      <w:r w:rsidR="00B351ED" w:rsidRPr="00F952FE">
        <w:rPr>
          <w:sz w:val="22"/>
          <w:szCs w:val="22"/>
        </w:rPr>
        <w:t xml:space="preserve"> receive a minimum amount of </w:t>
      </w:r>
      <w:r w:rsidR="001A06E4" w:rsidRPr="00F952FE">
        <w:rPr>
          <w:sz w:val="22"/>
          <w:szCs w:val="22"/>
        </w:rPr>
        <w:t xml:space="preserve">SEND </w:t>
      </w:r>
      <w:r w:rsidR="00B351ED" w:rsidRPr="00F952FE">
        <w:rPr>
          <w:sz w:val="22"/>
          <w:szCs w:val="22"/>
        </w:rPr>
        <w:t>formula funding, compared against the value of EHCPs of children at a</w:t>
      </w:r>
      <w:r w:rsidR="00A520E8" w:rsidRPr="00F952FE">
        <w:rPr>
          <w:sz w:val="22"/>
          <w:szCs w:val="22"/>
        </w:rPr>
        <w:t xml:space="preserve"> school or</w:t>
      </w:r>
      <w:r w:rsidR="00B351ED" w:rsidRPr="00F952FE">
        <w:rPr>
          <w:sz w:val="22"/>
          <w:szCs w:val="22"/>
        </w:rPr>
        <w:t xml:space="preserve"> academy. In effect, the </w:t>
      </w:r>
      <w:r w:rsidR="001A06E4" w:rsidRPr="00F952FE">
        <w:rPr>
          <w:sz w:val="22"/>
          <w:szCs w:val="22"/>
        </w:rPr>
        <w:t xml:space="preserve">SEND </w:t>
      </w:r>
      <w:r w:rsidR="00B351ED" w:rsidRPr="00F952FE">
        <w:rPr>
          <w:sz w:val="22"/>
          <w:szCs w:val="22"/>
        </w:rPr>
        <w:t>Floor</w:t>
      </w:r>
      <w:r w:rsidR="001A06E4" w:rsidRPr="00F952FE">
        <w:rPr>
          <w:sz w:val="22"/>
          <w:szCs w:val="22"/>
        </w:rPr>
        <w:t xml:space="preserve"> provides a top up for schools and</w:t>
      </w:r>
      <w:r w:rsidR="00B351ED" w:rsidRPr="00F952FE">
        <w:rPr>
          <w:sz w:val="22"/>
          <w:szCs w:val="22"/>
        </w:rPr>
        <w:t xml:space="preserve"> academies with higher numbers of individual EHCPs at a valu</w:t>
      </w:r>
      <w:r w:rsidR="005A746B" w:rsidRPr="00F952FE">
        <w:rPr>
          <w:sz w:val="22"/>
          <w:szCs w:val="22"/>
        </w:rPr>
        <w:t>e</w:t>
      </w:r>
      <w:r w:rsidR="00B351ED" w:rsidRPr="00F952FE">
        <w:rPr>
          <w:sz w:val="22"/>
          <w:szCs w:val="22"/>
        </w:rPr>
        <w:t xml:space="preserve"> greater than £6,000 that have </w:t>
      </w:r>
      <w:r w:rsidR="001A06E4" w:rsidRPr="00F952FE">
        <w:rPr>
          <w:sz w:val="22"/>
          <w:szCs w:val="22"/>
        </w:rPr>
        <w:t xml:space="preserve">generally </w:t>
      </w:r>
      <w:r w:rsidR="00B351ED" w:rsidRPr="00F952FE">
        <w:rPr>
          <w:sz w:val="22"/>
          <w:szCs w:val="22"/>
        </w:rPr>
        <w:t>lower levels of FSM and IDACI</w:t>
      </w:r>
      <w:r w:rsidR="001A06E4" w:rsidRPr="00F952FE">
        <w:rPr>
          <w:sz w:val="22"/>
          <w:szCs w:val="22"/>
        </w:rPr>
        <w:t xml:space="preserve"> and</w:t>
      </w:r>
      <w:r w:rsidR="00B351ED" w:rsidRPr="00F952FE">
        <w:rPr>
          <w:sz w:val="22"/>
          <w:szCs w:val="22"/>
        </w:rPr>
        <w:t xml:space="preserve"> higher levels of attainment</w:t>
      </w:r>
      <w:r w:rsidR="00240B56" w:rsidRPr="00F952FE">
        <w:rPr>
          <w:sz w:val="22"/>
          <w:szCs w:val="22"/>
        </w:rPr>
        <w:t>.</w:t>
      </w:r>
      <w:r w:rsidR="00C77945" w:rsidRPr="00F952FE">
        <w:rPr>
          <w:sz w:val="22"/>
          <w:szCs w:val="22"/>
        </w:rPr>
        <w:t xml:space="preserve"> The values of SEND Floor allocations, and the basis</w:t>
      </w:r>
      <w:r w:rsidR="003C2D37">
        <w:rPr>
          <w:sz w:val="22"/>
          <w:szCs w:val="22"/>
        </w:rPr>
        <w:t xml:space="preserve"> of the calculation, are</w:t>
      </w:r>
      <w:r w:rsidR="00C77945" w:rsidRPr="00F952FE">
        <w:rPr>
          <w:sz w:val="22"/>
          <w:szCs w:val="22"/>
        </w:rPr>
        <w:t xml:space="preserve"> set out for each school in the monthly high needs funding statements the Council publishes.</w:t>
      </w:r>
      <w:r w:rsidR="007D5B58" w:rsidRPr="00F952FE">
        <w:rPr>
          <w:sz w:val="22"/>
          <w:szCs w:val="22"/>
        </w:rPr>
        <w:t xml:space="preserve"> Please see Appendix </w:t>
      </w:r>
      <w:r w:rsidR="00F952FE" w:rsidRPr="00F952FE">
        <w:rPr>
          <w:sz w:val="22"/>
          <w:szCs w:val="22"/>
        </w:rPr>
        <w:t>4 for more technical information.</w:t>
      </w:r>
      <w:r w:rsidR="007D5B58" w:rsidRPr="00F952FE">
        <w:rPr>
          <w:sz w:val="22"/>
          <w:szCs w:val="22"/>
        </w:rPr>
        <w:t xml:space="preserve">  </w:t>
      </w:r>
    </w:p>
    <w:p w:rsidR="004B067A" w:rsidRDefault="004B067A" w:rsidP="00156D01">
      <w:pPr>
        <w:jc w:val="both"/>
        <w:rPr>
          <w:sz w:val="22"/>
          <w:szCs w:val="22"/>
        </w:rPr>
      </w:pPr>
    </w:p>
    <w:p w:rsidR="009B283C" w:rsidRPr="00C5330B" w:rsidRDefault="002364E2" w:rsidP="00C77D7A">
      <w:pPr>
        <w:jc w:val="both"/>
        <w:rPr>
          <w:sz w:val="22"/>
          <w:szCs w:val="22"/>
        </w:rPr>
      </w:pPr>
      <w:r>
        <w:rPr>
          <w:sz w:val="22"/>
          <w:szCs w:val="22"/>
        </w:rPr>
        <w:t>4</w:t>
      </w:r>
      <w:r w:rsidR="00973F70">
        <w:rPr>
          <w:sz w:val="22"/>
          <w:szCs w:val="22"/>
        </w:rPr>
        <w:t>.9</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 and Private, Voluntary an</w:t>
      </w:r>
      <w:r w:rsidR="009B00B7">
        <w:rPr>
          <w:sz w:val="22"/>
          <w:szCs w:val="22"/>
        </w:rPr>
        <w:t>d Independent p</w:t>
      </w:r>
      <w:r w:rsidR="00C5330B" w:rsidRPr="00C5330B">
        <w:rPr>
          <w:sz w:val="22"/>
          <w:szCs w:val="22"/>
        </w:rPr>
        <w:t>roviders), Bradford Council allocates</w:t>
      </w:r>
      <w:r w:rsidR="009B00B7">
        <w:rPr>
          <w:sz w:val="22"/>
          <w:szCs w:val="22"/>
        </w:rPr>
        <w:t xml:space="preserve"> element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DSG.</w:t>
      </w:r>
      <w:r w:rsidR="0062430D">
        <w:rPr>
          <w:sz w:val="22"/>
          <w:szCs w:val="22"/>
        </w:rPr>
        <w:t xml:space="preserve"> However,</w:t>
      </w:r>
      <w:r w:rsidR="00635FB9">
        <w:rPr>
          <w:sz w:val="22"/>
          <w:szCs w:val="22"/>
        </w:rPr>
        <w:t xml:space="preserve"> E</w:t>
      </w:r>
      <w:r w:rsidR="0062430D">
        <w:rPr>
          <w:sz w:val="22"/>
          <w:szCs w:val="22"/>
        </w:rPr>
        <w:t xml:space="preserve">lement 2 is not allocated within the EYSFF. </w:t>
      </w:r>
      <w:r w:rsidR="00C5330B" w:rsidRPr="00C5330B">
        <w:rPr>
          <w:sz w:val="22"/>
          <w:szCs w:val="22"/>
        </w:rPr>
        <w:t>The Council has put in place an Early Years SEND Inclusion Fund,</w:t>
      </w:r>
      <w:r w:rsidR="00E0444E">
        <w:rPr>
          <w:sz w:val="22"/>
          <w:szCs w:val="22"/>
        </w:rPr>
        <w:t xml:space="preserve"> also funded from the Early Years Block,</w:t>
      </w:r>
      <w:r w:rsidR="00635FB9">
        <w:rPr>
          <w:sz w:val="22"/>
          <w:szCs w:val="22"/>
        </w:rPr>
        <w:t xml:space="preserve"> which enables</w:t>
      </w:r>
      <w:r w:rsidR="00E0444E">
        <w:rPr>
          <w:sz w:val="22"/>
          <w:szCs w:val="22"/>
        </w:rPr>
        <w:t xml:space="preserve"> </w:t>
      </w:r>
      <w:r w:rsidR="00635FB9">
        <w:rPr>
          <w:sz w:val="22"/>
          <w:szCs w:val="22"/>
        </w:rPr>
        <w:t xml:space="preserve">Element 2 </w:t>
      </w:r>
      <w:r w:rsidR="00C5330B" w:rsidRPr="00C5330B">
        <w:rPr>
          <w:sz w:val="22"/>
          <w:szCs w:val="22"/>
        </w:rPr>
        <w:t xml:space="preserve">funding to be allocated to support children with low level </w:t>
      </w:r>
      <w:r w:rsidR="0062430D">
        <w:rPr>
          <w:sz w:val="22"/>
          <w:szCs w:val="22"/>
        </w:rPr>
        <w:t xml:space="preserve">non-EHCP </w:t>
      </w:r>
      <w:r w:rsidR="00635FB9">
        <w:rPr>
          <w:sz w:val="22"/>
          <w:szCs w:val="22"/>
        </w:rPr>
        <w:t xml:space="preserve">emerging SEND. </w:t>
      </w:r>
      <w:r w:rsidR="00C5330B">
        <w:rPr>
          <w:sz w:val="22"/>
          <w:szCs w:val="22"/>
        </w:rPr>
        <w:t>In addition, early years providers of the 3 and 4 year old entitlement are entitled to receive a one off payment of £615 per year for children eligible for the Disability Access Fund (DAF).</w:t>
      </w:r>
      <w:r w:rsidR="00E0444E">
        <w:rPr>
          <w:sz w:val="22"/>
          <w:szCs w:val="22"/>
        </w:rPr>
        <w:t xml:space="preserve"> Further details on</w:t>
      </w:r>
      <w:r w:rsidR="00635FB9">
        <w:rPr>
          <w:sz w:val="22"/>
          <w:szCs w:val="22"/>
        </w:rPr>
        <w:t xml:space="preserve"> the SEND</w:t>
      </w:r>
      <w:r w:rsidR="00E0444E">
        <w:rPr>
          <w:sz w:val="22"/>
          <w:szCs w:val="22"/>
        </w:rPr>
        <w:t xml:space="preserve"> </w:t>
      </w:r>
      <w:r w:rsidR="00635FB9">
        <w:rPr>
          <w:sz w:val="22"/>
          <w:szCs w:val="22"/>
        </w:rPr>
        <w:t xml:space="preserve">Inclusion Fund and </w:t>
      </w:r>
      <w:r w:rsidR="00E0444E">
        <w:rPr>
          <w:sz w:val="22"/>
          <w:szCs w:val="22"/>
        </w:rPr>
        <w:t xml:space="preserve">DAF can be found in our Early Years Technical Statement </w:t>
      </w:r>
      <w:hyperlink r:id="rId12" w:history="1">
        <w:r w:rsidR="00E0444E" w:rsidRPr="00E65E3A">
          <w:rPr>
            <w:rStyle w:val="Hyperlink"/>
            <w:sz w:val="22"/>
            <w:szCs w:val="22"/>
          </w:rPr>
          <w:t>here</w:t>
        </w:r>
      </w:hyperlink>
      <w:r w:rsidR="00E0444E" w:rsidRPr="00E65E3A">
        <w:rPr>
          <w:sz w:val="22"/>
          <w:szCs w:val="22"/>
        </w:rPr>
        <w:t>.</w:t>
      </w:r>
    </w:p>
    <w:p w:rsidR="009B283C" w:rsidRDefault="009B283C" w:rsidP="00C77D7A">
      <w:pPr>
        <w:jc w:val="both"/>
        <w:rPr>
          <w:color w:val="FF0000"/>
          <w:sz w:val="22"/>
          <w:szCs w:val="22"/>
        </w:rPr>
      </w:pPr>
    </w:p>
    <w:p w:rsidR="00F952FE" w:rsidRDefault="002364E2" w:rsidP="00F952FE">
      <w:pPr>
        <w:jc w:val="both"/>
        <w:rPr>
          <w:sz w:val="22"/>
          <w:szCs w:val="22"/>
        </w:rPr>
      </w:pPr>
      <w:r>
        <w:rPr>
          <w:sz w:val="22"/>
          <w:szCs w:val="22"/>
        </w:rPr>
        <w:t>4</w:t>
      </w:r>
      <w:r w:rsidR="00973F70">
        <w:rPr>
          <w:sz w:val="22"/>
          <w:szCs w:val="22"/>
        </w:rPr>
        <w:t>.10</w:t>
      </w:r>
      <w:r w:rsidR="00C77D7A" w:rsidRPr="00D32B2B">
        <w:rPr>
          <w:sz w:val="22"/>
          <w:szCs w:val="22"/>
        </w:rPr>
        <w:t xml:space="preserve"> </w:t>
      </w:r>
      <w:r w:rsidR="00B67F4F" w:rsidRPr="00D32B2B">
        <w:rPr>
          <w:sz w:val="22"/>
          <w:szCs w:val="22"/>
        </w:rPr>
        <w:t xml:space="preserve">Place funding for education in hospital provision, nationally, has still to be brought into the Place-Plus </w:t>
      </w:r>
      <w:r w:rsidR="00B67F4F" w:rsidRPr="00F952FE">
        <w:rPr>
          <w:sz w:val="22"/>
          <w:szCs w:val="22"/>
        </w:rPr>
        <w:t xml:space="preserve">methodology. Currently, local authorities </w:t>
      </w:r>
      <w:r w:rsidR="00255371" w:rsidRPr="00F952FE">
        <w:rPr>
          <w:sz w:val="22"/>
          <w:szCs w:val="22"/>
        </w:rPr>
        <w:t xml:space="preserve">are </w:t>
      </w:r>
      <w:r w:rsidR="00B67F4F" w:rsidRPr="00F952FE">
        <w:rPr>
          <w:sz w:val="22"/>
          <w:szCs w:val="22"/>
        </w:rPr>
        <w:t xml:space="preserve">required to </w:t>
      </w:r>
      <w:r w:rsidR="00727CFC" w:rsidRPr="00F952FE">
        <w:rPr>
          <w:sz w:val="22"/>
          <w:szCs w:val="22"/>
        </w:rPr>
        <w:t xml:space="preserve">maintain prior-year place funding values. The rate of funding per place </w:t>
      </w:r>
      <w:r w:rsidR="00FB71B4" w:rsidRPr="00F952FE">
        <w:rPr>
          <w:sz w:val="22"/>
          <w:szCs w:val="22"/>
        </w:rPr>
        <w:t>Bradford Council has set in 2019/20</w:t>
      </w:r>
      <w:r w:rsidR="00727CFC" w:rsidRPr="00F952FE">
        <w:rPr>
          <w:sz w:val="22"/>
          <w:szCs w:val="22"/>
        </w:rPr>
        <w:t xml:space="preserve"> is £18,465. The DfE consultation on the approach to the funding of hospital provision going forward</w:t>
      </w:r>
      <w:r w:rsidR="00E52738" w:rsidRPr="00F952FE">
        <w:rPr>
          <w:sz w:val="22"/>
          <w:szCs w:val="22"/>
        </w:rPr>
        <w:t xml:space="preserve"> is still to be published and review</w:t>
      </w:r>
      <w:r w:rsidR="00527AA1">
        <w:rPr>
          <w:sz w:val="22"/>
          <w:szCs w:val="22"/>
        </w:rPr>
        <w:t>ed</w:t>
      </w:r>
      <w:r w:rsidR="00E52738" w:rsidRPr="00F952FE">
        <w:rPr>
          <w:sz w:val="22"/>
          <w:szCs w:val="22"/>
        </w:rPr>
        <w:t>.</w:t>
      </w:r>
      <w:r w:rsidR="00F952FE" w:rsidRPr="00F952FE">
        <w:rPr>
          <w:sz w:val="22"/>
          <w:szCs w:val="22"/>
        </w:rPr>
        <w:t xml:space="preserve"> Please note that Bradford’s hospital provisions closed as separate PRUs on 31 August 2019 and Tracks is scheduled to close as a separate entity on 31 August 2020. Provision is continuing as a single Local-Authority managed central service. Amalgamation will be completed at 1 September 2020. The funding of the centrally managed service will operate outside the Place-Plus mechanism, working within the discrete allocation provided for this service within our High Needs Block. This will be subject to annual review and any changes in our discrete allocation from the DfE. A transitional</w:t>
      </w:r>
      <w:r w:rsidR="00F952FE">
        <w:rPr>
          <w:sz w:val="22"/>
          <w:szCs w:val="22"/>
        </w:rPr>
        <w:t xml:space="preserve"> fixed budget, based on its 2019/20 current place-plus derived allocation, will be delegated to Tracks for the period up to 31 August 2020.</w:t>
      </w:r>
    </w:p>
    <w:p w:rsidR="00F952FE" w:rsidRDefault="00F952FE" w:rsidP="00C77D7A">
      <w:pPr>
        <w:jc w:val="both"/>
        <w:rPr>
          <w:color w:val="FF0000"/>
          <w:sz w:val="22"/>
          <w:szCs w:val="22"/>
        </w:rPr>
      </w:pPr>
    </w:p>
    <w:p w:rsidR="00727CFC" w:rsidRPr="00727CFC" w:rsidRDefault="002364E2" w:rsidP="00C77D7A">
      <w:pPr>
        <w:jc w:val="both"/>
        <w:rPr>
          <w:sz w:val="22"/>
          <w:szCs w:val="22"/>
        </w:rPr>
      </w:pPr>
      <w:r>
        <w:rPr>
          <w:sz w:val="22"/>
          <w:szCs w:val="22"/>
        </w:rPr>
        <w:t>4</w:t>
      </w:r>
      <w:r w:rsidR="00973F70">
        <w:rPr>
          <w:sz w:val="22"/>
          <w:szCs w:val="22"/>
        </w:rPr>
        <w:t>.11</w:t>
      </w:r>
      <w:r w:rsidR="00727CFC" w:rsidRPr="00727CFC">
        <w:rPr>
          <w:sz w:val="22"/>
          <w:szCs w:val="22"/>
        </w:rPr>
        <w:t xml:space="preserve"> The funding</w:t>
      </w:r>
      <w:r w:rsidR="00527AA1">
        <w:rPr>
          <w:sz w:val="22"/>
          <w:szCs w:val="22"/>
        </w:rPr>
        <w:t xml:space="preserve"> of independent schools has also</w:t>
      </w:r>
      <w:r w:rsidR="00727CFC" w:rsidRPr="00727CFC">
        <w:rPr>
          <w:sz w:val="22"/>
          <w:szCs w:val="22"/>
        </w:rPr>
        <w:t xml:space="preserve"> not yet been brought into the national Place-Plus funding system. The basis of funding of placements in these is settings is open to market forces and will reflect a number of factors, including the needs of the child, place availability and negotiation.</w:t>
      </w:r>
    </w:p>
    <w:p w:rsidR="009B283C" w:rsidRDefault="009B283C" w:rsidP="00156D01">
      <w:pPr>
        <w:jc w:val="both"/>
        <w:rPr>
          <w:sz w:val="22"/>
          <w:szCs w:val="22"/>
        </w:rPr>
      </w:pPr>
    </w:p>
    <w:p w:rsidR="00156D01" w:rsidRDefault="00156D01" w:rsidP="009A2389">
      <w:pPr>
        <w:jc w:val="both"/>
        <w:rPr>
          <w:sz w:val="22"/>
          <w:szCs w:val="22"/>
        </w:rPr>
      </w:pPr>
    </w:p>
    <w:p w:rsidR="007347FD" w:rsidRPr="00FB71B4" w:rsidRDefault="00FB71B4" w:rsidP="007347FD">
      <w:pPr>
        <w:jc w:val="both"/>
        <w:rPr>
          <w:sz w:val="22"/>
          <w:szCs w:val="22"/>
        </w:rPr>
      </w:pPr>
      <w:r w:rsidRPr="00FB71B4">
        <w:rPr>
          <w:b/>
          <w:sz w:val="22"/>
          <w:szCs w:val="22"/>
        </w:rPr>
        <w:t>5</w:t>
      </w:r>
      <w:r w:rsidR="00527AA1">
        <w:rPr>
          <w:b/>
          <w:sz w:val="22"/>
          <w:szCs w:val="22"/>
        </w:rPr>
        <w:t>.</w:t>
      </w:r>
      <w:r w:rsidR="00527AA1">
        <w:rPr>
          <w:b/>
          <w:sz w:val="22"/>
          <w:szCs w:val="22"/>
        </w:rPr>
        <w:tab/>
      </w:r>
      <w:r w:rsidR="007017A7" w:rsidRPr="00FB71B4">
        <w:rPr>
          <w:b/>
          <w:sz w:val="22"/>
          <w:szCs w:val="22"/>
        </w:rPr>
        <w:t xml:space="preserve">Commissioned </w:t>
      </w:r>
      <w:r w:rsidR="007347FD" w:rsidRPr="00FB71B4">
        <w:rPr>
          <w:b/>
          <w:sz w:val="22"/>
          <w:szCs w:val="22"/>
        </w:rPr>
        <w:t>Places</w:t>
      </w:r>
      <w:r w:rsidRPr="00FB71B4">
        <w:rPr>
          <w:b/>
          <w:sz w:val="22"/>
          <w:szCs w:val="22"/>
        </w:rPr>
        <w:t xml:space="preserve"> 2020</w:t>
      </w:r>
      <w:r w:rsidR="007568EF" w:rsidRPr="00FB71B4">
        <w:rPr>
          <w:b/>
          <w:sz w:val="22"/>
          <w:szCs w:val="22"/>
        </w:rPr>
        <w:t>/2</w:t>
      </w:r>
      <w:r w:rsidRPr="00FB71B4">
        <w:rPr>
          <w:b/>
          <w:sz w:val="22"/>
          <w:szCs w:val="22"/>
        </w:rPr>
        <w:t>1</w:t>
      </w:r>
    </w:p>
    <w:p w:rsidR="007347FD" w:rsidRDefault="007347FD" w:rsidP="00C41CF3">
      <w:pPr>
        <w:jc w:val="both"/>
        <w:rPr>
          <w:b/>
          <w:sz w:val="22"/>
          <w:szCs w:val="22"/>
        </w:rPr>
      </w:pPr>
    </w:p>
    <w:p w:rsidR="008F6BDC" w:rsidRDefault="00FB71B4" w:rsidP="008F6BDC">
      <w:pPr>
        <w:jc w:val="both"/>
        <w:rPr>
          <w:sz w:val="22"/>
          <w:szCs w:val="22"/>
        </w:rPr>
      </w:pPr>
      <w:r>
        <w:rPr>
          <w:sz w:val="22"/>
          <w:szCs w:val="22"/>
        </w:rPr>
        <w:t>5</w:t>
      </w:r>
      <w:r w:rsidR="007568EF">
        <w:rPr>
          <w:sz w:val="22"/>
          <w:szCs w:val="22"/>
        </w:rPr>
        <w:t xml:space="preserve">.1 </w:t>
      </w:r>
      <w:r w:rsidR="008962F0">
        <w:rPr>
          <w:sz w:val="22"/>
          <w:szCs w:val="22"/>
        </w:rPr>
        <w:t>Bradford Council’s</w:t>
      </w:r>
      <w:r w:rsidR="008F6BDC" w:rsidRPr="00154164">
        <w:rPr>
          <w:sz w:val="22"/>
          <w:szCs w:val="22"/>
        </w:rPr>
        <w:t xml:space="preserve"> DSG</w:t>
      </w:r>
      <w:r w:rsidR="008962F0">
        <w:rPr>
          <w:sz w:val="22"/>
          <w:szCs w:val="22"/>
        </w:rPr>
        <w:t xml:space="preserve"> H</w:t>
      </w:r>
      <w:r w:rsidR="00002F3C">
        <w:rPr>
          <w:sz w:val="22"/>
          <w:szCs w:val="22"/>
        </w:rPr>
        <w:t xml:space="preserve">igh </w:t>
      </w:r>
      <w:r w:rsidR="008962F0">
        <w:rPr>
          <w:sz w:val="22"/>
          <w:szCs w:val="22"/>
        </w:rPr>
        <w:t>N</w:t>
      </w:r>
      <w:r w:rsidR="00002F3C">
        <w:rPr>
          <w:sz w:val="22"/>
          <w:szCs w:val="22"/>
        </w:rPr>
        <w:t xml:space="preserve">eeds </w:t>
      </w:r>
      <w:r w:rsidR="008962F0">
        <w:rPr>
          <w:sz w:val="22"/>
          <w:szCs w:val="22"/>
        </w:rPr>
        <w:t>B</w:t>
      </w:r>
      <w:r w:rsidR="00002F3C">
        <w:rPr>
          <w:sz w:val="22"/>
          <w:szCs w:val="22"/>
        </w:rPr>
        <w:t>lock</w:t>
      </w:r>
      <w:r w:rsidR="008F6BDC" w:rsidRPr="00154164">
        <w:rPr>
          <w:sz w:val="22"/>
          <w:szCs w:val="22"/>
        </w:rPr>
        <w:t xml:space="preserve"> planned budget currently assumes</w:t>
      </w:r>
      <w:r w:rsidR="009A2389">
        <w:rPr>
          <w:sz w:val="22"/>
          <w:szCs w:val="22"/>
        </w:rPr>
        <w:t xml:space="preserve"> that the </w:t>
      </w:r>
      <w:r w:rsidR="008962F0">
        <w:rPr>
          <w:sz w:val="22"/>
          <w:szCs w:val="22"/>
        </w:rPr>
        <w:t xml:space="preserve">places that are set out in </w:t>
      </w:r>
      <w:r w:rsidR="008962F0" w:rsidRPr="00527AA1">
        <w:rPr>
          <w:sz w:val="22"/>
          <w:szCs w:val="22"/>
        </w:rPr>
        <w:t xml:space="preserve">Appendix </w:t>
      </w:r>
      <w:r w:rsidR="00527AA1" w:rsidRPr="00527AA1">
        <w:rPr>
          <w:sz w:val="22"/>
          <w:szCs w:val="22"/>
        </w:rPr>
        <w:t>5</w:t>
      </w:r>
      <w:r w:rsidR="009A2389" w:rsidRPr="00527AA1">
        <w:rPr>
          <w:sz w:val="22"/>
          <w:szCs w:val="22"/>
        </w:rPr>
        <w:t xml:space="preserve"> will </w:t>
      </w:r>
      <w:r w:rsidR="009A2389" w:rsidRPr="009A2389">
        <w:rPr>
          <w:sz w:val="22"/>
          <w:szCs w:val="22"/>
        </w:rPr>
        <w:t xml:space="preserve">be commissioned </w:t>
      </w:r>
      <w:r w:rsidR="00772195">
        <w:rPr>
          <w:sz w:val="22"/>
          <w:szCs w:val="22"/>
        </w:rPr>
        <w:t>in</w:t>
      </w:r>
      <w:r>
        <w:rPr>
          <w:sz w:val="22"/>
          <w:szCs w:val="22"/>
        </w:rPr>
        <w:t xml:space="preserve"> 2020/21</w:t>
      </w:r>
      <w:r w:rsidR="009A2389" w:rsidRPr="009A2389">
        <w:rPr>
          <w:sz w:val="22"/>
          <w:szCs w:val="22"/>
        </w:rPr>
        <w:t>.</w:t>
      </w:r>
    </w:p>
    <w:p w:rsidR="008962F0" w:rsidRDefault="008962F0" w:rsidP="008F6BDC">
      <w:pPr>
        <w:jc w:val="both"/>
        <w:rPr>
          <w:sz w:val="22"/>
          <w:szCs w:val="22"/>
        </w:rPr>
      </w:pPr>
    </w:p>
    <w:p w:rsidR="008962F0" w:rsidRDefault="00FB71B4" w:rsidP="008F6BDC">
      <w:pPr>
        <w:jc w:val="both"/>
        <w:rPr>
          <w:sz w:val="22"/>
          <w:szCs w:val="22"/>
        </w:rPr>
      </w:pPr>
      <w:r>
        <w:rPr>
          <w:sz w:val="22"/>
          <w:szCs w:val="22"/>
        </w:rPr>
        <w:t>5</w:t>
      </w:r>
      <w:r w:rsidR="008962F0">
        <w:rPr>
          <w:sz w:val="22"/>
          <w:szCs w:val="22"/>
        </w:rPr>
        <w:t>.2 These numbers include</w:t>
      </w:r>
      <w:r w:rsidR="00527AA1">
        <w:rPr>
          <w:sz w:val="22"/>
          <w:szCs w:val="22"/>
        </w:rPr>
        <w:t xml:space="preserve"> / take account of</w:t>
      </w:r>
      <w:r w:rsidR="008962F0">
        <w:rPr>
          <w:sz w:val="22"/>
          <w:szCs w:val="22"/>
        </w:rPr>
        <w:t>:</w:t>
      </w:r>
    </w:p>
    <w:p w:rsidR="008F6BDC" w:rsidRPr="00FD2944" w:rsidRDefault="008F6BDC" w:rsidP="008F6BDC">
      <w:pPr>
        <w:jc w:val="both"/>
        <w:rPr>
          <w:sz w:val="22"/>
          <w:szCs w:val="22"/>
        </w:rPr>
      </w:pPr>
    </w:p>
    <w:p w:rsidR="008F6BDC" w:rsidRDefault="008F6BDC" w:rsidP="00C15620">
      <w:pPr>
        <w:pStyle w:val="ListParagraph"/>
        <w:numPr>
          <w:ilvl w:val="0"/>
          <w:numId w:val="4"/>
        </w:numPr>
        <w:jc w:val="both"/>
        <w:rPr>
          <w:sz w:val="22"/>
          <w:szCs w:val="22"/>
        </w:rPr>
      </w:pPr>
      <w:r w:rsidRPr="009A2389">
        <w:rPr>
          <w:sz w:val="22"/>
          <w:szCs w:val="22"/>
        </w:rPr>
        <w:t xml:space="preserve">For individual </w:t>
      </w:r>
      <w:r w:rsidR="00EA5B76">
        <w:rPr>
          <w:sz w:val="22"/>
          <w:szCs w:val="22"/>
        </w:rPr>
        <w:t xml:space="preserve">SEND </w:t>
      </w:r>
      <w:r w:rsidRPr="009A2389">
        <w:rPr>
          <w:sz w:val="22"/>
          <w:szCs w:val="22"/>
        </w:rPr>
        <w:t>settings, the greater of e</w:t>
      </w:r>
      <w:r w:rsidR="00527AA1">
        <w:rPr>
          <w:sz w:val="22"/>
          <w:szCs w:val="22"/>
        </w:rPr>
        <w:t>ither actual occupancy at November</w:t>
      </w:r>
      <w:r w:rsidR="00FB71B4">
        <w:rPr>
          <w:sz w:val="22"/>
          <w:szCs w:val="22"/>
        </w:rPr>
        <w:t xml:space="preserve"> 2019</w:t>
      </w:r>
      <w:r w:rsidRPr="009A2389">
        <w:rPr>
          <w:sz w:val="22"/>
          <w:szCs w:val="22"/>
        </w:rPr>
        <w:t xml:space="preserve"> or the</w:t>
      </w:r>
      <w:r w:rsidR="00FB71B4">
        <w:rPr>
          <w:sz w:val="22"/>
          <w:szCs w:val="22"/>
        </w:rPr>
        <w:t xml:space="preserve"> 2019/20</w:t>
      </w:r>
      <w:r w:rsidRPr="009A2389">
        <w:rPr>
          <w:sz w:val="22"/>
          <w:szCs w:val="22"/>
        </w:rPr>
        <w:t xml:space="preserve"> planned places total, with some adjustments to individual settings for known specific changes and planned increases and reductions.</w:t>
      </w:r>
    </w:p>
    <w:p w:rsidR="00772195" w:rsidRPr="009A2389" w:rsidRDefault="00772195" w:rsidP="00772195">
      <w:pPr>
        <w:pStyle w:val="ListParagraph"/>
        <w:jc w:val="both"/>
        <w:rPr>
          <w:sz w:val="22"/>
          <w:szCs w:val="22"/>
        </w:rPr>
      </w:pPr>
    </w:p>
    <w:p w:rsidR="008F6BDC" w:rsidRPr="009A2389" w:rsidRDefault="008F6BDC" w:rsidP="00C15620">
      <w:pPr>
        <w:pStyle w:val="ListParagraph"/>
        <w:numPr>
          <w:ilvl w:val="0"/>
          <w:numId w:val="4"/>
        </w:numPr>
        <w:jc w:val="both"/>
        <w:rPr>
          <w:sz w:val="22"/>
          <w:szCs w:val="22"/>
        </w:rPr>
      </w:pPr>
      <w:r w:rsidRPr="009A2389">
        <w:rPr>
          <w:sz w:val="22"/>
          <w:szCs w:val="22"/>
        </w:rPr>
        <w:t xml:space="preserve">The </w:t>
      </w:r>
      <w:r w:rsidR="009A2389" w:rsidRPr="009A2389">
        <w:rPr>
          <w:sz w:val="22"/>
          <w:szCs w:val="22"/>
        </w:rPr>
        <w:t>continuation and full year impact of the</w:t>
      </w:r>
      <w:r w:rsidRPr="009A2389">
        <w:rPr>
          <w:sz w:val="22"/>
          <w:szCs w:val="22"/>
        </w:rPr>
        <w:t xml:space="preserve"> additional places that have been </w:t>
      </w:r>
      <w:r w:rsidR="00FB71B4">
        <w:rPr>
          <w:sz w:val="22"/>
          <w:szCs w:val="22"/>
        </w:rPr>
        <w:t>created between April 2019 and April 2020</w:t>
      </w:r>
      <w:r w:rsidRPr="009A2389">
        <w:rPr>
          <w:sz w:val="22"/>
          <w:szCs w:val="22"/>
        </w:rPr>
        <w:t>, which are now a</w:t>
      </w:r>
      <w:r w:rsidR="009A2389" w:rsidRPr="009A2389">
        <w:rPr>
          <w:sz w:val="22"/>
          <w:szCs w:val="22"/>
        </w:rPr>
        <w:t>llocated to individual settings.</w:t>
      </w:r>
    </w:p>
    <w:p w:rsidR="008F6BDC" w:rsidRPr="008962F0" w:rsidRDefault="008F6BDC" w:rsidP="008F6BDC">
      <w:pPr>
        <w:pStyle w:val="ListParagraph"/>
        <w:jc w:val="both"/>
        <w:rPr>
          <w:color w:val="FF0000"/>
          <w:sz w:val="22"/>
          <w:szCs w:val="22"/>
        </w:rPr>
      </w:pPr>
    </w:p>
    <w:p w:rsidR="002B726B" w:rsidRDefault="00FB71B4" w:rsidP="00C15620">
      <w:pPr>
        <w:pStyle w:val="ListParagraph"/>
        <w:numPr>
          <w:ilvl w:val="0"/>
          <w:numId w:val="4"/>
        </w:numPr>
        <w:jc w:val="both"/>
        <w:rPr>
          <w:sz w:val="22"/>
          <w:szCs w:val="22"/>
        </w:rPr>
      </w:pPr>
      <w:r>
        <w:rPr>
          <w:sz w:val="22"/>
          <w:szCs w:val="22"/>
        </w:rPr>
        <w:t>100</w:t>
      </w:r>
      <w:r w:rsidR="008F6BDC" w:rsidRPr="00262D2F">
        <w:rPr>
          <w:sz w:val="22"/>
          <w:szCs w:val="22"/>
        </w:rPr>
        <w:t xml:space="preserve"> additional </w:t>
      </w:r>
      <w:r w:rsidR="001A5D69">
        <w:rPr>
          <w:sz w:val="22"/>
          <w:szCs w:val="22"/>
        </w:rPr>
        <w:t xml:space="preserve">SEND </w:t>
      </w:r>
      <w:r w:rsidR="008F6BDC" w:rsidRPr="009A2389">
        <w:rPr>
          <w:sz w:val="22"/>
          <w:szCs w:val="22"/>
        </w:rPr>
        <w:t>places</w:t>
      </w:r>
      <w:r w:rsidR="00262D2F">
        <w:rPr>
          <w:sz w:val="22"/>
          <w:szCs w:val="22"/>
        </w:rPr>
        <w:t xml:space="preserve"> to</w:t>
      </w:r>
      <w:r w:rsidR="00527AA1">
        <w:rPr>
          <w:sz w:val="22"/>
          <w:szCs w:val="22"/>
        </w:rPr>
        <w:t xml:space="preserve"> begin to</w:t>
      </w:r>
      <w:r w:rsidR="00262D2F">
        <w:rPr>
          <w:sz w:val="22"/>
          <w:szCs w:val="22"/>
        </w:rPr>
        <w:t xml:space="preserve"> be</w:t>
      </w:r>
      <w:r w:rsidR="008F6BDC" w:rsidRPr="009A2389">
        <w:rPr>
          <w:sz w:val="22"/>
          <w:szCs w:val="22"/>
        </w:rPr>
        <w:t xml:space="preserve"> created </w:t>
      </w:r>
      <w:r w:rsidR="00527AA1">
        <w:rPr>
          <w:sz w:val="22"/>
          <w:szCs w:val="22"/>
        </w:rPr>
        <w:t>during 2020</w:t>
      </w:r>
      <w:r>
        <w:rPr>
          <w:sz w:val="22"/>
          <w:szCs w:val="22"/>
        </w:rPr>
        <w:t>.</w:t>
      </w:r>
    </w:p>
    <w:p w:rsidR="001F14EC" w:rsidRPr="004B39DC" w:rsidRDefault="001F14EC" w:rsidP="001F14EC">
      <w:pPr>
        <w:pStyle w:val="ListParagraph"/>
        <w:jc w:val="both"/>
        <w:rPr>
          <w:sz w:val="22"/>
          <w:szCs w:val="22"/>
        </w:rPr>
      </w:pPr>
    </w:p>
    <w:p w:rsidR="0068338C" w:rsidRDefault="009A2389" w:rsidP="001F14EC">
      <w:pPr>
        <w:pStyle w:val="ListParagraph"/>
        <w:numPr>
          <w:ilvl w:val="0"/>
          <w:numId w:val="4"/>
        </w:numPr>
        <w:jc w:val="both"/>
        <w:rPr>
          <w:sz w:val="22"/>
          <w:szCs w:val="22"/>
        </w:rPr>
      </w:pPr>
      <w:r w:rsidRPr="009A2389">
        <w:rPr>
          <w:sz w:val="22"/>
          <w:szCs w:val="22"/>
        </w:rPr>
        <w:t xml:space="preserve">An estimate of the number </w:t>
      </w:r>
      <w:r w:rsidR="008F6BDC" w:rsidRPr="009A2389">
        <w:rPr>
          <w:sz w:val="22"/>
          <w:szCs w:val="22"/>
        </w:rPr>
        <w:t>post 16 plac</w:t>
      </w:r>
      <w:r w:rsidRPr="009A2389">
        <w:rPr>
          <w:sz w:val="22"/>
          <w:szCs w:val="22"/>
        </w:rPr>
        <w:t>es in Further</w:t>
      </w:r>
      <w:r w:rsidR="00FB71B4">
        <w:rPr>
          <w:sz w:val="22"/>
          <w:szCs w:val="22"/>
        </w:rPr>
        <w:t xml:space="preserve"> Education Colleges for the 2020/21</w:t>
      </w:r>
      <w:r w:rsidRPr="009A2389">
        <w:rPr>
          <w:sz w:val="22"/>
          <w:szCs w:val="22"/>
        </w:rPr>
        <w:t xml:space="preserve"> academic year, based on </w:t>
      </w:r>
      <w:r w:rsidR="00527AA1">
        <w:rPr>
          <w:sz w:val="22"/>
          <w:szCs w:val="22"/>
        </w:rPr>
        <w:t xml:space="preserve">predicted </w:t>
      </w:r>
      <w:r w:rsidRPr="009A2389">
        <w:rPr>
          <w:sz w:val="22"/>
          <w:szCs w:val="22"/>
        </w:rPr>
        <w:t>occupancy information</w:t>
      </w:r>
      <w:r w:rsidR="00FB71B4">
        <w:rPr>
          <w:sz w:val="22"/>
          <w:szCs w:val="22"/>
        </w:rPr>
        <w:t>.</w:t>
      </w:r>
    </w:p>
    <w:p w:rsidR="00F304FB" w:rsidRPr="001F14EC" w:rsidRDefault="00F304FB" w:rsidP="00F304FB">
      <w:pPr>
        <w:pStyle w:val="ListParagraph"/>
        <w:jc w:val="both"/>
        <w:rPr>
          <w:sz w:val="22"/>
          <w:szCs w:val="22"/>
        </w:rPr>
      </w:pPr>
    </w:p>
    <w:p w:rsidR="008F6BDC" w:rsidRPr="00022504" w:rsidRDefault="0068338C" w:rsidP="00C15620">
      <w:pPr>
        <w:pStyle w:val="ListParagraph"/>
        <w:numPr>
          <w:ilvl w:val="0"/>
          <w:numId w:val="4"/>
        </w:numPr>
        <w:jc w:val="both"/>
        <w:rPr>
          <w:color w:val="000000" w:themeColor="text1"/>
          <w:sz w:val="22"/>
          <w:szCs w:val="22"/>
        </w:rPr>
      </w:pPr>
      <w:r>
        <w:rPr>
          <w:sz w:val="22"/>
          <w:szCs w:val="22"/>
        </w:rPr>
        <w:t>The</w:t>
      </w:r>
      <w:r w:rsidR="00FB71B4">
        <w:rPr>
          <w:sz w:val="22"/>
          <w:szCs w:val="22"/>
        </w:rPr>
        <w:t xml:space="preserve"> agreed cessation at September 2020 of the High Needs Block’s funding of</w:t>
      </w:r>
      <w:r>
        <w:rPr>
          <w:sz w:val="22"/>
          <w:szCs w:val="22"/>
        </w:rPr>
        <w:t xml:space="preserve"> </w:t>
      </w:r>
      <w:r w:rsidR="00527AA1">
        <w:rPr>
          <w:sz w:val="22"/>
          <w:szCs w:val="22"/>
        </w:rPr>
        <w:t xml:space="preserve">school-commissioned </w:t>
      </w:r>
      <w:r>
        <w:rPr>
          <w:sz w:val="22"/>
          <w:szCs w:val="22"/>
        </w:rPr>
        <w:t xml:space="preserve">alternative provision places </w:t>
      </w:r>
      <w:r w:rsidR="00F304FB">
        <w:rPr>
          <w:sz w:val="22"/>
          <w:szCs w:val="22"/>
        </w:rPr>
        <w:t xml:space="preserve">at </w:t>
      </w:r>
      <w:r w:rsidR="00527AA1">
        <w:rPr>
          <w:sz w:val="22"/>
          <w:szCs w:val="22"/>
        </w:rPr>
        <w:t xml:space="preserve">District PRU and </w:t>
      </w:r>
      <w:r w:rsidR="00F304FB">
        <w:rPr>
          <w:sz w:val="22"/>
          <w:szCs w:val="22"/>
        </w:rPr>
        <w:t>at the Primary Behaviour Centres</w:t>
      </w:r>
      <w:r w:rsidR="00527AA1">
        <w:rPr>
          <w:sz w:val="22"/>
          <w:szCs w:val="22"/>
        </w:rPr>
        <w:t>.</w:t>
      </w:r>
    </w:p>
    <w:p w:rsidR="00022504" w:rsidRPr="00022504" w:rsidRDefault="00022504" w:rsidP="00022504">
      <w:pPr>
        <w:pStyle w:val="ListParagraph"/>
        <w:jc w:val="both"/>
        <w:rPr>
          <w:color w:val="000000" w:themeColor="text1"/>
          <w:sz w:val="22"/>
          <w:szCs w:val="22"/>
        </w:rPr>
      </w:pPr>
    </w:p>
    <w:p w:rsidR="00022504" w:rsidRPr="00FB71B4" w:rsidRDefault="00022504" w:rsidP="00C15620">
      <w:pPr>
        <w:pStyle w:val="ListParagraph"/>
        <w:numPr>
          <w:ilvl w:val="0"/>
          <w:numId w:val="4"/>
        </w:numPr>
        <w:jc w:val="both"/>
        <w:rPr>
          <w:color w:val="000000" w:themeColor="text1"/>
          <w:sz w:val="22"/>
          <w:szCs w:val="22"/>
        </w:rPr>
      </w:pPr>
      <w:r>
        <w:rPr>
          <w:color w:val="000000" w:themeColor="text1"/>
          <w:sz w:val="22"/>
          <w:szCs w:val="22"/>
        </w:rPr>
        <w:t>The amalgamation of hospital education and Tracks places within a single Local-Authority managed service.</w:t>
      </w:r>
    </w:p>
    <w:p w:rsidR="0085345C" w:rsidRDefault="0085345C" w:rsidP="008F6BDC">
      <w:pPr>
        <w:jc w:val="both"/>
        <w:rPr>
          <w:sz w:val="22"/>
          <w:szCs w:val="22"/>
        </w:rPr>
      </w:pPr>
    </w:p>
    <w:p w:rsidR="0085345C" w:rsidRPr="007568EF" w:rsidRDefault="00FB71B4" w:rsidP="008F6BDC">
      <w:pPr>
        <w:jc w:val="both"/>
        <w:rPr>
          <w:sz w:val="22"/>
          <w:szCs w:val="22"/>
        </w:rPr>
      </w:pPr>
      <w:r>
        <w:rPr>
          <w:sz w:val="22"/>
          <w:szCs w:val="22"/>
        </w:rPr>
        <w:t>5</w:t>
      </w:r>
      <w:r w:rsidR="00022504">
        <w:rPr>
          <w:sz w:val="22"/>
          <w:szCs w:val="22"/>
        </w:rPr>
        <w:t>.3</w:t>
      </w:r>
      <w:r w:rsidR="001B1A21">
        <w:rPr>
          <w:sz w:val="22"/>
          <w:szCs w:val="22"/>
        </w:rPr>
        <w:t xml:space="preserve"> Within the 2020/21</w:t>
      </w:r>
      <w:r w:rsidR="0085345C">
        <w:rPr>
          <w:sz w:val="22"/>
          <w:szCs w:val="22"/>
        </w:rPr>
        <w:t xml:space="preserve"> planned budget estimates, the Council </w:t>
      </w:r>
      <w:r w:rsidR="005F293F">
        <w:rPr>
          <w:sz w:val="22"/>
          <w:szCs w:val="22"/>
        </w:rPr>
        <w:t>also forecasts</w:t>
      </w:r>
      <w:r w:rsidR="0085345C">
        <w:rPr>
          <w:sz w:val="22"/>
          <w:szCs w:val="22"/>
        </w:rPr>
        <w:t xml:space="preserve"> a continuing increase in the number of pupils with EHCPs in mainstream primary and secondary schools and academies and a continuing increase in the number of children and young people placed in independent and non-maintained special schools.</w:t>
      </w:r>
    </w:p>
    <w:p w:rsidR="007568EF" w:rsidRDefault="007568EF" w:rsidP="00C41CF3">
      <w:pPr>
        <w:jc w:val="both"/>
        <w:rPr>
          <w:b/>
          <w:sz w:val="22"/>
          <w:szCs w:val="22"/>
        </w:rPr>
      </w:pPr>
    </w:p>
    <w:p w:rsidR="007347FD" w:rsidRDefault="007347FD" w:rsidP="00C41CF3">
      <w:pPr>
        <w:jc w:val="both"/>
        <w:rPr>
          <w:b/>
          <w:sz w:val="22"/>
          <w:szCs w:val="22"/>
        </w:rPr>
      </w:pPr>
    </w:p>
    <w:p w:rsidR="00C41CF3" w:rsidRPr="0090119B" w:rsidRDefault="001B1A21" w:rsidP="00C41CF3">
      <w:pPr>
        <w:jc w:val="both"/>
        <w:rPr>
          <w:sz w:val="22"/>
          <w:szCs w:val="22"/>
        </w:rPr>
      </w:pPr>
      <w:r>
        <w:rPr>
          <w:b/>
          <w:sz w:val="22"/>
          <w:szCs w:val="22"/>
        </w:rPr>
        <w:t>6</w:t>
      </w:r>
      <w:r w:rsidR="00C41CF3" w:rsidRPr="0090119B">
        <w:rPr>
          <w:b/>
          <w:sz w:val="22"/>
          <w:szCs w:val="22"/>
        </w:rPr>
        <w:t>.</w:t>
      </w:r>
      <w:r w:rsidR="00C41CF3" w:rsidRPr="0090119B">
        <w:rPr>
          <w:b/>
          <w:sz w:val="22"/>
          <w:szCs w:val="22"/>
        </w:rPr>
        <w:tab/>
        <w:t>Top-Up Funding</w:t>
      </w:r>
      <w:r w:rsidR="00C6158B" w:rsidRPr="0090119B">
        <w:rPr>
          <w:b/>
          <w:sz w:val="22"/>
          <w:szCs w:val="22"/>
        </w:rPr>
        <w:t>: Pupil-Led Need</w:t>
      </w:r>
    </w:p>
    <w:p w:rsidR="00156D01" w:rsidRDefault="00156D01" w:rsidP="001B416B">
      <w:pPr>
        <w:jc w:val="both"/>
        <w:rPr>
          <w:sz w:val="22"/>
          <w:szCs w:val="22"/>
        </w:rPr>
      </w:pPr>
    </w:p>
    <w:p w:rsidR="00A469C2" w:rsidRDefault="001B1A21" w:rsidP="001B416B">
      <w:pPr>
        <w:jc w:val="both"/>
        <w:rPr>
          <w:sz w:val="22"/>
          <w:szCs w:val="22"/>
        </w:rPr>
      </w:pPr>
      <w:r>
        <w:rPr>
          <w:sz w:val="22"/>
          <w:szCs w:val="22"/>
        </w:rPr>
        <w:t>6</w:t>
      </w:r>
      <w:r w:rsidR="00A469C2">
        <w:rPr>
          <w:sz w:val="22"/>
          <w:szCs w:val="22"/>
        </w:rPr>
        <w:t>.1 Top-up funding</w:t>
      </w:r>
      <w:r w:rsidR="00705F72">
        <w:rPr>
          <w:sz w:val="22"/>
          <w:szCs w:val="22"/>
        </w:rPr>
        <w:t xml:space="preserve"> (also known as Element 3</w:t>
      </w:r>
      <w:r w:rsidR="002F0BEC">
        <w:rPr>
          <w:sz w:val="22"/>
          <w:szCs w:val="22"/>
        </w:rPr>
        <w:t xml:space="preserve"> or ‘Plus’ funding</w:t>
      </w:r>
      <w:r w:rsidR="00705F72">
        <w:rPr>
          <w:sz w:val="22"/>
          <w:szCs w:val="22"/>
        </w:rPr>
        <w:t>)</w:t>
      </w:r>
      <w:r w:rsidR="00A469C2">
        <w:rPr>
          <w:sz w:val="22"/>
          <w:szCs w:val="22"/>
        </w:rPr>
        <w:t xml:space="preserve"> is the funding required</w:t>
      </w:r>
      <w:r w:rsidR="001972DD">
        <w:rPr>
          <w:sz w:val="22"/>
          <w:szCs w:val="22"/>
        </w:rPr>
        <w:t xml:space="preserve"> by an institution</w:t>
      </w:r>
      <w:r w:rsidR="00A469C2">
        <w:rPr>
          <w:sz w:val="22"/>
          <w:szCs w:val="22"/>
        </w:rPr>
        <w:t xml:space="preserve">, </w:t>
      </w:r>
      <w:r w:rsidR="00322D1E">
        <w:rPr>
          <w:sz w:val="22"/>
          <w:szCs w:val="22"/>
        </w:rPr>
        <w:t>over and above</w:t>
      </w:r>
      <w:r w:rsidR="00A469C2">
        <w:rPr>
          <w:sz w:val="22"/>
          <w:szCs w:val="22"/>
        </w:rPr>
        <w:t xml:space="preserve"> place funding, to enable a child or young person with high needs to participate in education and</w:t>
      </w:r>
      <w:r w:rsidR="002F0BEC">
        <w:rPr>
          <w:sz w:val="22"/>
          <w:szCs w:val="22"/>
        </w:rPr>
        <w:t xml:space="preserve"> learning. Top-up funding is expected</w:t>
      </w:r>
      <w:r w:rsidR="00A469C2">
        <w:rPr>
          <w:sz w:val="22"/>
          <w:szCs w:val="22"/>
        </w:rPr>
        <w:t xml:space="preserve"> </w:t>
      </w:r>
      <w:r w:rsidR="002B6DB0">
        <w:rPr>
          <w:sz w:val="22"/>
          <w:szCs w:val="22"/>
        </w:rPr>
        <w:t xml:space="preserve">to </w:t>
      </w:r>
      <w:r w:rsidR="00A469C2">
        <w:rPr>
          <w:sz w:val="22"/>
          <w:szCs w:val="22"/>
        </w:rPr>
        <w:t>reflect the cost of additional support an institution incurs related to the individual needs of the child or young person</w:t>
      </w:r>
      <w:r w:rsidR="001972DD">
        <w:rPr>
          <w:sz w:val="22"/>
          <w:szCs w:val="22"/>
        </w:rPr>
        <w:t xml:space="preserve">. In this document this is </w:t>
      </w:r>
      <w:r w:rsidR="00A469C2">
        <w:rPr>
          <w:sz w:val="22"/>
          <w:szCs w:val="22"/>
        </w:rPr>
        <w:t>called ‘Pupil-Led Need</w:t>
      </w:r>
      <w:r w:rsidR="001972DD">
        <w:rPr>
          <w:sz w:val="22"/>
          <w:szCs w:val="22"/>
        </w:rPr>
        <w:t>’. Top-</w:t>
      </w:r>
      <w:r w:rsidR="00A469C2">
        <w:rPr>
          <w:sz w:val="22"/>
          <w:szCs w:val="22"/>
        </w:rPr>
        <w:t>up funding can also reflect costs</w:t>
      </w:r>
      <w:r w:rsidR="00027DBC">
        <w:rPr>
          <w:sz w:val="22"/>
          <w:szCs w:val="22"/>
        </w:rPr>
        <w:t xml:space="preserve"> (and differences in costs)</w:t>
      </w:r>
      <w:r w:rsidR="00A469C2">
        <w:rPr>
          <w:sz w:val="22"/>
          <w:szCs w:val="22"/>
        </w:rPr>
        <w:t xml:space="preserve"> related to the setting that the chil</w:t>
      </w:r>
      <w:r w:rsidR="00322D1E">
        <w:rPr>
          <w:sz w:val="22"/>
          <w:szCs w:val="22"/>
        </w:rPr>
        <w:t xml:space="preserve">d or young person is placed at </w:t>
      </w:r>
      <w:r w:rsidR="00A469C2">
        <w:rPr>
          <w:sz w:val="22"/>
          <w:szCs w:val="22"/>
        </w:rPr>
        <w:t xml:space="preserve">and can also take account of the </w:t>
      </w:r>
      <w:r w:rsidR="00053930">
        <w:rPr>
          <w:sz w:val="22"/>
          <w:szCs w:val="22"/>
        </w:rPr>
        <w:t xml:space="preserve">real time </w:t>
      </w:r>
      <w:r w:rsidR="00A469C2">
        <w:rPr>
          <w:sz w:val="22"/>
          <w:szCs w:val="22"/>
        </w:rPr>
        <w:t>occupancy of places at a setting</w:t>
      </w:r>
      <w:r w:rsidR="001972DD">
        <w:rPr>
          <w:sz w:val="22"/>
          <w:szCs w:val="22"/>
        </w:rPr>
        <w:t xml:space="preserve">. In this document this is </w:t>
      </w:r>
      <w:r w:rsidR="00A469C2">
        <w:rPr>
          <w:sz w:val="22"/>
          <w:szCs w:val="22"/>
        </w:rPr>
        <w:t>called ‘Setting-Led Need’</w:t>
      </w:r>
      <w:r w:rsidR="006A7FA7">
        <w:rPr>
          <w:sz w:val="22"/>
          <w:szCs w:val="22"/>
        </w:rPr>
        <w:t xml:space="preserve"> and this is </w:t>
      </w:r>
      <w:r w:rsidR="000158E1">
        <w:rPr>
          <w:sz w:val="22"/>
          <w:szCs w:val="22"/>
        </w:rPr>
        <w:t>discussed further in section</w:t>
      </w:r>
      <w:r w:rsidR="004B4608">
        <w:rPr>
          <w:sz w:val="22"/>
          <w:szCs w:val="22"/>
        </w:rPr>
        <w:t xml:space="preserve"> 7</w:t>
      </w:r>
      <w:r w:rsidR="006A7FA7">
        <w:rPr>
          <w:sz w:val="22"/>
          <w:szCs w:val="22"/>
        </w:rPr>
        <w:t>.</w:t>
      </w:r>
    </w:p>
    <w:p w:rsidR="009D5076" w:rsidRDefault="009D5076" w:rsidP="001B416B">
      <w:pPr>
        <w:jc w:val="both"/>
        <w:rPr>
          <w:sz w:val="22"/>
          <w:szCs w:val="22"/>
        </w:rPr>
      </w:pPr>
    </w:p>
    <w:p w:rsidR="009D5076" w:rsidRDefault="001B1A21" w:rsidP="001B416B">
      <w:pPr>
        <w:jc w:val="both"/>
        <w:rPr>
          <w:sz w:val="22"/>
          <w:szCs w:val="22"/>
        </w:rPr>
      </w:pPr>
      <w:r>
        <w:rPr>
          <w:sz w:val="22"/>
          <w:szCs w:val="22"/>
        </w:rPr>
        <w:t>6</w:t>
      </w:r>
      <w:r w:rsidR="003218E3">
        <w:rPr>
          <w:sz w:val="22"/>
          <w:szCs w:val="22"/>
        </w:rPr>
        <w:t xml:space="preserve">.2 </w:t>
      </w:r>
      <w:r>
        <w:rPr>
          <w:sz w:val="22"/>
          <w:szCs w:val="22"/>
        </w:rPr>
        <w:t>M</w:t>
      </w:r>
      <w:r w:rsidR="003218E3">
        <w:rPr>
          <w:sz w:val="22"/>
          <w:szCs w:val="22"/>
        </w:rPr>
        <w:t>ost</w:t>
      </w:r>
      <w:r w:rsidR="009D5076">
        <w:rPr>
          <w:sz w:val="22"/>
          <w:szCs w:val="22"/>
        </w:rPr>
        <w:t xml:space="preserve"> children and young people receiving high </w:t>
      </w:r>
      <w:r>
        <w:rPr>
          <w:sz w:val="22"/>
          <w:szCs w:val="22"/>
        </w:rPr>
        <w:t>needs funding will have an EHCP. L</w:t>
      </w:r>
      <w:r w:rsidR="009D5076">
        <w:rPr>
          <w:sz w:val="22"/>
          <w:szCs w:val="22"/>
        </w:rPr>
        <w:t xml:space="preserve">ocal authorities have the flexibility to provide high needs funding outside the statutory assessment process for all children and young people up to the age of 19. </w:t>
      </w:r>
      <w:r w:rsidR="007C4291">
        <w:rPr>
          <w:sz w:val="22"/>
          <w:szCs w:val="22"/>
        </w:rPr>
        <w:t>However, due to increasing budget pressure, the Council, with the Schools Forum, has agreed for the High Needs Block to step back from meeting the cost of funding for children and young people that are placed</w:t>
      </w:r>
      <w:r w:rsidR="002F0BEC">
        <w:rPr>
          <w:sz w:val="22"/>
          <w:szCs w:val="22"/>
        </w:rPr>
        <w:t xml:space="preserve"> by schools</w:t>
      </w:r>
      <w:r w:rsidR="007C4291">
        <w:rPr>
          <w:sz w:val="22"/>
          <w:szCs w:val="22"/>
        </w:rPr>
        <w:t xml:space="preserve"> in alternative provisions</w:t>
      </w:r>
      <w:r w:rsidR="00CC2A87">
        <w:rPr>
          <w:sz w:val="22"/>
          <w:szCs w:val="22"/>
        </w:rPr>
        <w:t xml:space="preserve">. </w:t>
      </w:r>
      <w:r w:rsidR="002F0BEC">
        <w:rPr>
          <w:sz w:val="22"/>
          <w:szCs w:val="22"/>
        </w:rPr>
        <w:t xml:space="preserve">The </w:t>
      </w:r>
      <w:r w:rsidR="00322D1E">
        <w:rPr>
          <w:sz w:val="22"/>
          <w:szCs w:val="22"/>
        </w:rPr>
        <w:t>s</w:t>
      </w:r>
      <w:r w:rsidR="00322D1E" w:rsidRPr="00E56C24">
        <w:rPr>
          <w:sz w:val="22"/>
          <w:szCs w:val="22"/>
        </w:rPr>
        <w:t>chools</w:t>
      </w:r>
      <w:r w:rsidR="002F0BEC">
        <w:rPr>
          <w:sz w:val="22"/>
          <w:szCs w:val="22"/>
        </w:rPr>
        <w:t xml:space="preserve"> commissioning the places</w:t>
      </w:r>
      <w:r w:rsidR="00322D1E">
        <w:rPr>
          <w:sz w:val="22"/>
          <w:szCs w:val="22"/>
        </w:rPr>
        <w:t xml:space="preserve"> (</w:t>
      </w:r>
      <w:r w:rsidR="00CC2A87">
        <w:rPr>
          <w:sz w:val="22"/>
          <w:szCs w:val="22"/>
        </w:rPr>
        <w:t xml:space="preserve">including </w:t>
      </w:r>
      <w:r w:rsidR="00322D1E">
        <w:rPr>
          <w:sz w:val="22"/>
          <w:szCs w:val="22"/>
        </w:rPr>
        <w:t xml:space="preserve">through the BACs in the secondary sector) are required </w:t>
      </w:r>
      <w:r w:rsidR="0003530E">
        <w:rPr>
          <w:sz w:val="22"/>
          <w:szCs w:val="22"/>
        </w:rPr>
        <w:t xml:space="preserve">to meet </w:t>
      </w:r>
      <w:r w:rsidR="00322D1E">
        <w:rPr>
          <w:sz w:val="22"/>
          <w:szCs w:val="22"/>
        </w:rPr>
        <w:t>the cost</w:t>
      </w:r>
      <w:r w:rsidR="0003530E">
        <w:rPr>
          <w:sz w:val="22"/>
          <w:szCs w:val="22"/>
        </w:rPr>
        <w:t xml:space="preserve"> using their element 2</w:t>
      </w:r>
      <w:r w:rsidR="00322D1E">
        <w:rPr>
          <w:sz w:val="22"/>
          <w:szCs w:val="22"/>
        </w:rPr>
        <w:t xml:space="preserve"> </w:t>
      </w:r>
      <w:r w:rsidR="00322D1E" w:rsidRPr="00E56C24">
        <w:rPr>
          <w:sz w:val="22"/>
          <w:szCs w:val="22"/>
        </w:rPr>
        <w:t>funding within their formula funding allocation</w:t>
      </w:r>
      <w:r w:rsidR="00322D1E">
        <w:rPr>
          <w:sz w:val="22"/>
          <w:szCs w:val="22"/>
        </w:rPr>
        <w:t>s.</w:t>
      </w:r>
    </w:p>
    <w:p w:rsidR="00A469C2" w:rsidRDefault="00A469C2" w:rsidP="001B416B">
      <w:pPr>
        <w:jc w:val="both"/>
        <w:rPr>
          <w:sz w:val="22"/>
          <w:szCs w:val="22"/>
        </w:rPr>
      </w:pPr>
    </w:p>
    <w:p w:rsidR="00027DBC" w:rsidRDefault="001B1A21" w:rsidP="00027DBC">
      <w:pPr>
        <w:jc w:val="both"/>
        <w:rPr>
          <w:sz w:val="22"/>
          <w:szCs w:val="22"/>
        </w:rPr>
      </w:pPr>
      <w:r>
        <w:rPr>
          <w:sz w:val="22"/>
          <w:szCs w:val="22"/>
        </w:rPr>
        <w:t>6</w:t>
      </w:r>
      <w:r w:rsidR="00322D1E">
        <w:rPr>
          <w:sz w:val="22"/>
          <w:szCs w:val="22"/>
        </w:rPr>
        <w:t>.3</w:t>
      </w:r>
      <w:r w:rsidR="00A469C2">
        <w:rPr>
          <w:sz w:val="22"/>
          <w:szCs w:val="22"/>
        </w:rPr>
        <w:t xml:space="preserve"> Top-up funding</w:t>
      </w:r>
      <w:r w:rsidR="00116F74">
        <w:rPr>
          <w:sz w:val="22"/>
          <w:szCs w:val="22"/>
        </w:rPr>
        <w:t xml:space="preserve"> for children and</w:t>
      </w:r>
      <w:r w:rsidR="00045F67">
        <w:rPr>
          <w:sz w:val="22"/>
          <w:szCs w:val="22"/>
        </w:rPr>
        <w:t xml:space="preserve"> young people with EHCPs</w:t>
      </w:r>
      <w:r w:rsidR="00A469C2">
        <w:rPr>
          <w:sz w:val="22"/>
          <w:szCs w:val="22"/>
        </w:rPr>
        <w:t xml:space="preserve"> is paid by the placing local authority</w:t>
      </w:r>
      <w:r w:rsidR="000C31DD">
        <w:rPr>
          <w:sz w:val="22"/>
          <w:szCs w:val="22"/>
        </w:rPr>
        <w:t xml:space="preserve">. </w:t>
      </w:r>
      <w:r w:rsidR="00A469C2">
        <w:rPr>
          <w:sz w:val="22"/>
          <w:szCs w:val="22"/>
        </w:rPr>
        <w:t>Bradford Council</w:t>
      </w:r>
      <w:r w:rsidR="00CC2A87">
        <w:rPr>
          <w:sz w:val="22"/>
          <w:szCs w:val="22"/>
        </w:rPr>
        <w:t xml:space="preserve"> therefore,</w:t>
      </w:r>
      <w:r w:rsidR="00A469C2">
        <w:rPr>
          <w:sz w:val="22"/>
          <w:szCs w:val="22"/>
        </w:rPr>
        <w:t xml:space="preserve"> </w:t>
      </w:r>
      <w:r w:rsidR="00A24890">
        <w:rPr>
          <w:sz w:val="22"/>
          <w:szCs w:val="22"/>
        </w:rPr>
        <w:t>is</w:t>
      </w:r>
      <w:r w:rsidR="00027DBC">
        <w:rPr>
          <w:sz w:val="22"/>
          <w:szCs w:val="22"/>
        </w:rPr>
        <w:t xml:space="preserve"> responsible for funding the t</w:t>
      </w:r>
      <w:r w:rsidR="00A469C2">
        <w:rPr>
          <w:sz w:val="22"/>
          <w:szCs w:val="22"/>
        </w:rPr>
        <w:t>op-up for children</w:t>
      </w:r>
      <w:r w:rsidR="00FC2370">
        <w:rPr>
          <w:sz w:val="22"/>
          <w:szCs w:val="22"/>
        </w:rPr>
        <w:t xml:space="preserve"> and young people</w:t>
      </w:r>
      <w:r w:rsidR="00A469C2">
        <w:rPr>
          <w:sz w:val="22"/>
          <w:szCs w:val="22"/>
        </w:rPr>
        <w:t xml:space="preserve"> </w:t>
      </w:r>
      <w:r w:rsidR="00322D1E">
        <w:rPr>
          <w:sz w:val="22"/>
          <w:szCs w:val="22"/>
        </w:rPr>
        <w:t xml:space="preserve">with EHCPs that are </w:t>
      </w:r>
      <w:r w:rsidR="00A469C2">
        <w:rPr>
          <w:sz w:val="22"/>
          <w:szCs w:val="22"/>
        </w:rPr>
        <w:t>resident in Bradford</w:t>
      </w:r>
      <w:r w:rsidR="00322D1E">
        <w:rPr>
          <w:sz w:val="22"/>
          <w:szCs w:val="22"/>
        </w:rPr>
        <w:t xml:space="preserve"> and</w:t>
      </w:r>
      <w:r w:rsidR="00402E1D">
        <w:rPr>
          <w:sz w:val="22"/>
          <w:szCs w:val="22"/>
        </w:rPr>
        <w:t xml:space="preserve"> that we place</w:t>
      </w:r>
      <w:r w:rsidR="006D3744">
        <w:rPr>
          <w:sz w:val="22"/>
          <w:szCs w:val="22"/>
        </w:rPr>
        <w:t xml:space="preserve"> either in Bradford-located settings or elsewhere</w:t>
      </w:r>
      <w:r w:rsidR="00A469C2">
        <w:rPr>
          <w:sz w:val="22"/>
          <w:szCs w:val="22"/>
        </w:rPr>
        <w:t>.</w:t>
      </w:r>
      <w:r w:rsidR="00926315">
        <w:rPr>
          <w:sz w:val="22"/>
          <w:szCs w:val="22"/>
        </w:rPr>
        <w:t xml:space="preserve"> Institutions</w:t>
      </w:r>
      <w:r w:rsidR="006D3744">
        <w:rPr>
          <w:sz w:val="22"/>
          <w:szCs w:val="22"/>
        </w:rPr>
        <w:t xml:space="preserve"> in Bradford</w:t>
      </w:r>
      <w:r w:rsidR="00926315">
        <w:rPr>
          <w:sz w:val="22"/>
          <w:szCs w:val="22"/>
        </w:rPr>
        <w:t xml:space="preserve"> </w:t>
      </w:r>
      <w:r w:rsidR="003A5825">
        <w:rPr>
          <w:sz w:val="22"/>
          <w:szCs w:val="22"/>
        </w:rPr>
        <w:t>should</w:t>
      </w:r>
      <w:r w:rsidR="00926315">
        <w:rPr>
          <w:sz w:val="22"/>
          <w:szCs w:val="22"/>
        </w:rPr>
        <w:t xml:space="preserve"> recover</w:t>
      </w:r>
      <w:r w:rsidR="00854CB8">
        <w:rPr>
          <w:sz w:val="22"/>
          <w:szCs w:val="22"/>
        </w:rPr>
        <w:t xml:space="preserve"> for themselves</w:t>
      </w:r>
      <w:r w:rsidR="00926315">
        <w:rPr>
          <w:sz w:val="22"/>
          <w:szCs w:val="22"/>
        </w:rPr>
        <w:t xml:space="preserve"> the top-up funding </w:t>
      </w:r>
      <w:r w:rsidR="00854CB8">
        <w:rPr>
          <w:sz w:val="22"/>
          <w:szCs w:val="22"/>
        </w:rPr>
        <w:t>relating to</w:t>
      </w:r>
      <w:r w:rsidR="000D29B2">
        <w:rPr>
          <w:sz w:val="22"/>
          <w:szCs w:val="22"/>
        </w:rPr>
        <w:t xml:space="preserve"> children and</w:t>
      </w:r>
      <w:r w:rsidR="00926315">
        <w:rPr>
          <w:sz w:val="22"/>
          <w:szCs w:val="22"/>
        </w:rPr>
        <w:t xml:space="preserve"> young people</w:t>
      </w:r>
      <w:r w:rsidR="00854CB8">
        <w:rPr>
          <w:sz w:val="22"/>
          <w:szCs w:val="22"/>
        </w:rPr>
        <w:t xml:space="preserve"> placed</w:t>
      </w:r>
      <w:r w:rsidR="000D29B2">
        <w:rPr>
          <w:sz w:val="22"/>
          <w:szCs w:val="22"/>
        </w:rPr>
        <w:t xml:space="preserve"> with them</w:t>
      </w:r>
      <w:r w:rsidR="00854CB8">
        <w:rPr>
          <w:sz w:val="22"/>
          <w:szCs w:val="22"/>
        </w:rPr>
        <w:t xml:space="preserve"> by other local authorities</w:t>
      </w:r>
      <w:r w:rsidR="00926315">
        <w:rPr>
          <w:sz w:val="22"/>
          <w:szCs w:val="22"/>
        </w:rPr>
        <w:t>.</w:t>
      </w:r>
    </w:p>
    <w:p w:rsidR="00027DBC" w:rsidRDefault="00027DBC" w:rsidP="00027DBC">
      <w:pPr>
        <w:jc w:val="both"/>
        <w:rPr>
          <w:sz w:val="22"/>
          <w:szCs w:val="22"/>
        </w:rPr>
      </w:pPr>
    </w:p>
    <w:p w:rsidR="001B1A21" w:rsidRDefault="001B1A21" w:rsidP="00517A8F">
      <w:pPr>
        <w:jc w:val="both"/>
        <w:rPr>
          <w:sz w:val="22"/>
          <w:szCs w:val="22"/>
        </w:rPr>
      </w:pPr>
      <w:r>
        <w:rPr>
          <w:sz w:val="22"/>
          <w:szCs w:val="22"/>
        </w:rPr>
        <w:t>6</w:t>
      </w:r>
      <w:r w:rsidR="00C1546B">
        <w:rPr>
          <w:sz w:val="22"/>
          <w:szCs w:val="22"/>
        </w:rPr>
        <w:t>.4</w:t>
      </w:r>
      <w:r w:rsidR="00517A8F">
        <w:rPr>
          <w:sz w:val="22"/>
          <w:szCs w:val="22"/>
        </w:rPr>
        <w:t xml:space="preserve"> Bradford Council </w:t>
      </w:r>
      <w:r>
        <w:rPr>
          <w:sz w:val="22"/>
          <w:szCs w:val="22"/>
        </w:rPr>
        <w:t xml:space="preserve">currently </w:t>
      </w:r>
      <w:r w:rsidR="00517A8F">
        <w:rPr>
          <w:sz w:val="22"/>
          <w:szCs w:val="22"/>
        </w:rPr>
        <w:t>allocates Pupil-Led Need top-up</w:t>
      </w:r>
      <w:r w:rsidR="00F124B8">
        <w:rPr>
          <w:sz w:val="22"/>
          <w:szCs w:val="22"/>
        </w:rPr>
        <w:t xml:space="preserve"> for children and young people with EHCPs</w:t>
      </w:r>
      <w:r w:rsidR="005C65C6">
        <w:rPr>
          <w:sz w:val="22"/>
          <w:szCs w:val="22"/>
        </w:rPr>
        <w:t xml:space="preserve"> following a</w:t>
      </w:r>
      <w:r w:rsidR="00517A8F">
        <w:rPr>
          <w:sz w:val="22"/>
          <w:szCs w:val="22"/>
        </w:rPr>
        <w:t xml:space="preserve"> Ranges Funding Model. This model is attached</w:t>
      </w:r>
      <w:r w:rsidR="002F0BEC">
        <w:rPr>
          <w:sz w:val="22"/>
          <w:szCs w:val="22"/>
        </w:rPr>
        <w:t xml:space="preserve"> for reference</w:t>
      </w:r>
      <w:r w:rsidR="00517A8F">
        <w:rPr>
          <w:sz w:val="22"/>
          <w:szCs w:val="22"/>
        </w:rPr>
        <w:t xml:space="preserve"> at</w:t>
      </w:r>
      <w:r w:rsidR="00517A8F" w:rsidRPr="00517A8F">
        <w:rPr>
          <w:color w:val="FF0000"/>
          <w:sz w:val="22"/>
          <w:szCs w:val="22"/>
        </w:rPr>
        <w:t xml:space="preserve"> </w:t>
      </w:r>
      <w:r w:rsidR="00517A8F" w:rsidRPr="002F0BEC">
        <w:rPr>
          <w:sz w:val="22"/>
          <w:szCs w:val="22"/>
        </w:rPr>
        <w:t xml:space="preserve">Appendix </w:t>
      </w:r>
      <w:r w:rsidR="002F0BEC" w:rsidRPr="002F0BEC">
        <w:rPr>
          <w:sz w:val="22"/>
          <w:szCs w:val="22"/>
        </w:rPr>
        <w:t>2</w:t>
      </w:r>
      <w:r w:rsidR="00517A8F" w:rsidRPr="002F0BEC">
        <w:rPr>
          <w:sz w:val="22"/>
          <w:szCs w:val="22"/>
        </w:rPr>
        <w:t>.</w:t>
      </w:r>
      <w:r w:rsidR="00A20157" w:rsidRPr="002F0BEC">
        <w:rPr>
          <w:sz w:val="22"/>
          <w:szCs w:val="22"/>
        </w:rPr>
        <w:t xml:space="preserve"> </w:t>
      </w:r>
      <w:r w:rsidR="00A20157">
        <w:rPr>
          <w:sz w:val="22"/>
          <w:szCs w:val="22"/>
        </w:rPr>
        <w:t>This m</w:t>
      </w:r>
      <w:r w:rsidR="00517A8F">
        <w:rPr>
          <w:sz w:val="22"/>
          <w:szCs w:val="22"/>
        </w:rPr>
        <w:t>odel is used to assign pupils into categories of need for funding purposes. Each range has an applicable level of funding, and every pupil assigned to a range is allo</w:t>
      </w:r>
      <w:r w:rsidR="005C65C6">
        <w:rPr>
          <w:sz w:val="22"/>
          <w:szCs w:val="22"/>
        </w:rPr>
        <w:t>cated that</w:t>
      </w:r>
      <w:r w:rsidR="00DF651B">
        <w:rPr>
          <w:sz w:val="22"/>
          <w:szCs w:val="22"/>
        </w:rPr>
        <w:t xml:space="preserve"> set value of funding</w:t>
      </w:r>
      <w:r w:rsidR="00517A8F">
        <w:rPr>
          <w:sz w:val="22"/>
          <w:szCs w:val="22"/>
        </w:rPr>
        <w:t xml:space="preserve">. </w:t>
      </w:r>
    </w:p>
    <w:p w:rsidR="001B1A21" w:rsidRDefault="001B1A21" w:rsidP="00517A8F">
      <w:pPr>
        <w:jc w:val="both"/>
        <w:rPr>
          <w:sz w:val="22"/>
          <w:szCs w:val="22"/>
        </w:rPr>
      </w:pPr>
    </w:p>
    <w:p w:rsidR="002F0BEC" w:rsidRPr="002F0BEC" w:rsidRDefault="00293077" w:rsidP="002F0BEC">
      <w:pPr>
        <w:jc w:val="both"/>
        <w:rPr>
          <w:b/>
          <w:sz w:val="22"/>
          <w:szCs w:val="22"/>
        </w:rPr>
      </w:pPr>
      <w:r>
        <w:rPr>
          <w:b/>
          <w:sz w:val="22"/>
          <w:szCs w:val="22"/>
        </w:rPr>
        <w:t>6.5 We have</w:t>
      </w:r>
      <w:r w:rsidR="002F0BEC" w:rsidRPr="002F0BEC">
        <w:rPr>
          <w:b/>
          <w:sz w:val="22"/>
          <w:szCs w:val="22"/>
        </w:rPr>
        <w:t xml:space="preserve"> developed locally an amended approach to the funding of the ‘top up’ element for EHCPs, which we propose to adopt from </w:t>
      </w:r>
      <w:r w:rsidR="005C65C6">
        <w:rPr>
          <w:b/>
          <w:sz w:val="22"/>
          <w:szCs w:val="22"/>
        </w:rPr>
        <w:t xml:space="preserve">1 </w:t>
      </w:r>
      <w:r w:rsidR="002F0BEC" w:rsidRPr="002F0BEC">
        <w:rPr>
          <w:b/>
          <w:sz w:val="22"/>
          <w:szCs w:val="22"/>
        </w:rPr>
        <w:t>April 2020. If agreed, this new Banded Model will replace our existing ‘Ranges Model’.</w:t>
      </w:r>
    </w:p>
    <w:p w:rsidR="002F0BEC" w:rsidRPr="002F0BEC" w:rsidRDefault="002F0BEC" w:rsidP="002F0BEC">
      <w:pPr>
        <w:jc w:val="both"/>
        <w:rPr>
          <w:sz w:val="22"/>
          <w:szCs w:val="22"/>
        </w:rPr>
      </w:pPr>
    </w:p>
    <w:p w:rsidR="002F0BEC" w:rsidRPr="002F0BEC" w:rsidRDefault="002F0BEC" w:rsidP="00C15620">
      <w:pPr>
        <w:pStyle w:val="ListParagraph"/>
        <w:numPr>
          <w:ilvl w:val="0"/>
          <w:numId w:val="12"/>
        </w:numPr>
        <w:jc w:val="both"/>
        <w:rPr>
          <w:b/>
          <w:sz w:val="22"/>
          <w:szCs w:val="22"/>
        </w:rPr>
      </w:pPr>
      <w:r w:rsidRPr="002F0BEC">
        <w:rPr>
          <w:b/>
          <w:sz w:val="22"/>
          <w:szCs w:val="22"/>
        </w:rPr>
        <w:t>This change will affect the funding of all existing and new EHCPs in all settings, both mainstream and specialist.</w:t>
      </w:r>
    </w:p>
    <w:p w:rsidR="002F0BEC" w:rsidRPr="002F0BEC" w:rsidRDefault="002F0BEC" w:rsidP="002F0BEC">
      <w:pPr>
        <w:pStyle w:val="ListParagraph"/>
        <w:jc w:val="both"/>
        <w:rPr>
          <w:b/>
          <w:sz w:val="22"/>
          <w:szCs w:val="22"/>
        </w:rPr>
      </w:pPr>
      <w:r w:rsidRPr="002F0BEC">
        <w:rPr>
          <w:b/>
          <w:sz w:val="22"/>
          <w:szCs w:val="22"/>
        </w:rPr>
        <w:t xml:space="preserve"> </w:t>
      </w:r>
    </w:p>
    <w:p w:rsidR="002F0BEC" w:rsidRPr="002F0BEC" w:rsidRDefault="002F0BEC" w:rsidP="00C15620">
      <w:pPr>
        <w:pStyle w:val="ListParagraph"/>
        <w:numPr>
          <w:ilvl w:val="0"/>
          <w:numId w:val="12"/>
        </w:numPr>
        <w:jc w:val="both"/>
        <w:rPr>
          <w:b/>
          <w:sz w:val="22"/>
          <w:szCs w:val="22"/>
        </w:rPr>
      </w:pPr>
      <w:r w:rsidRPr="002F0BEC">
        <w:rPr>
          <w:b/>
          <w:sz w:val="22"/>
          <w:szCs w:val="22"/>
        </w:rPr>
        <w:t>It is our intention to use this new model as the vehicle through which to release to providers a significant proportion of the additional High Needs Block funding that is expected to be allocated to Bradford in 2020/21.</w:t>
      </w:r>
    </w:p>
    <w:p w:rsidR="002F0BEC" w:rsidRPr="002F0BEC" w:rsidRDefault="002F0BEC" w:rsidP="002F0BEC">
      <w:pPr>
        <w:pStyle w:val="ListParagraph"/>
        <w:jc w:val="both"/>
        <w:rPr>
          <w:b/>
          <w:sz w:val="22"/>
          <w:szCs w:val="22"/>
        </w:rPr>
      </w:pPr>
    </w:p>
    <w:p w:rsidR="001230A4" w:rsidRDefault="002F0BEC" w:rsidP="00C15620">
      <w:pPr>
        <w:pStyle w:val="ListParagraph"/>
        <w:numPr>
          <w:ilvl w:val="0"/>
          <w:numId w:val="12"/>
        </w:numPr>
        <w:jc w:val="both"/>
        <w:rPr>
          <w:b/>
          <w:sz w:val="22"/>
          <w:szCs w:val="22"/>
        </w:rPr>
      </w:pPr>
      <w:r w:rsidRPr="002F0BEC">
        <w:rPr>
          <w:b/>
          <w:sz w:val="22"/>
          <w:szCs w:val="22"/>
        </w:rPr>
        <w:t>The way that we propose to move to the new Banded Model at April 2020 means that all existing EHCPs will see uplift in funding. No existing EHCPs will reduce in value as a result of funding model change.</w:t>
      </w:r>
    </w:p>
    <w:p w:rsidR="009506FA" w:rsidRPr="004B39DC" w:rsidRDefault="009506FA" w:rsidP="009506FA">
      <w:pPr>
        <w:pStyle w:val="ListParagraph"/>
        <w:jc w:val="both"/>
        <w:rPr>
          <w:b/>
          <w:sz w:val="22"/>
          <w:szCs w:val="22"/>
        </w:rPr>
      </w:pPr>
    </w:p>
    <w:p w:rsidR="002F0BEC" w:rsidRPr="002F0BEC" w:rsidRDefault="002F0BEC" w:rsidP="00C15620">
      <w:pPr>
        <w:pStyle w:val="ListParagraph"/>
        <w:numPr>
          <w:ilvl w:val="0"/>
          <w:numId w:val="12"/>
        </w:numPr>
        <w:jc w:val="both"/>
        <w:rPr>
          <w:b/>
          <w:sz w:val="22"/>
          <w:szCs w:val="22"/>
        </w:rPr>
      </w:pPr>
      <w:r w:rsidRPr="002F0BEC">
        <w:rPr>
          <w:b/>
          <w:sz w:val="22"/>
          <w:szCs w:val="22"/>
        </w:rPr>
        <w:t xml:space="preserve">The proposed new model is set out in </w:t>
      </w:r>
      <w:r w:rsidR="005C65C6">
        <w:rPr>
          <w:b/>
          <w:sz w:val="22"/>
          <w:szCs w:val="22"/>
        </w:rPr>
        <w:t xml:space="preserve">more detail in </w:t>
      </w:r>
      <w:r w:rsidRPr="002F0BEC">
        <w:rPr>
          <w:b/>
          <w:sz w:val="22"/>
          <w:szCs w:val="22"/>
        </w:rPr>
        <w:t>Appendix 3.</w:t>
      </w:r>
    </w:p>
    <w:p w:rsidR="001B1A21" w:rsidRDefault="001B1A21" w:rsidP="00517A8F">
      <w:pPr>
        <w:jc w:val="both"/>
        <w:rPr>
          <w:color w:val="FF0000"/>
          <w:sz w:val="22"/>
          <w:szCs w:val="22"/>
        </w:rPr>
      </w:pPr>
    </w:p>
    <w:p w:rsidR="00517A8F" w:rsidRDefault="002F0BEC" w:rsidP="00517A8F">
      <w:pPr>
        <w:jc w:val="both"/>
        <w:rPr>
          <w:sz w:val="22"/>
          <w:szCs w:val="22"/>
        </w:rPr>
      </w:pPr>
      <w:r w:rsidRPr="004B4608">
        <w:rPr>
          <w:sz w:val="22"/>
          <w:szCs w:val="22"/>
        </w:rPr>
        <w:t>6.6 In continuing to use a Banded Model, t</w:t>
      </w:r>
      <w:r w:rsidR="00517A8F" w:rsidRPr="004B4608">
        <w:rPr>
          <w:sz w:val="22"/>
          <w:szCs w:val="22"/>
        </w:rPr>
        <w:t xml:space="preserve">he Council’s </w:t>
      </w:r>
      <w:r w:rsidRPr="004B4608">
        <w:rPr>
          <w:sz w:val="22"/>
          <w:szCs w:val="22"/>
        </w:rPr>
        <w:t xml:space="preserve">intention is to retain </w:t>
      </w:r>
      <w:r w:rsidR="00517A8F" w:rsidRPr="004B4608">
        <w:rPr>
          <w:sz w:val="22"/>
          <w:szCs w:val="22"/>
        </w:rPr>
        <w:t>a single</w:t>
      </w:r>
      <w:r w:rsidRPr="004B4608">
        <w:rPr>
          <w:sz w:val="22"/>
          <w:szCs w:val="22"/>
        </w:rPr>
        <w:t xml:space="preserve"> transferrable</w:t>
      </w:r>
      <w:r w:rsidR="00517A8F" w:rsidRPr="004B4608">
        <w:rPr>
          <w:sz w:val="22"/>
          <w:szCs w:val="22"/>
        </w:rPr>
        <w:t xml:space="preserve"> uniform framework for calculating top-up funding</w:t>
      </w:r>
      <w:r w:rsidRPr="004B4608">
        <w:rPr>
          <w:sz w:val="22"/>
          <w:szCs w:val="22"/>
        </w:rPr>
        <w:t xml:space="preserve"> for EHCPs</w:t>
      </w:r>
      <w:r w:rsidR="00517A8F" w:rsidRPr="004B4608">
        <w:rPr>
          <w:sz w:val="22"/>
          <w:szCs w:val="22"/>
        </w:rPr>
        <w:t xml:space="preserve">. The Council’s expectation </w:t>
      </w:r>
      <w:r w:rsidRPr="004B4608">
        <w:rPr>
          <w:sz w:val="22"/>
          <w:szCs w:val="22"/>
        </w:rPr>
        <w:t>continues to be</w:t>
      </w:r>
      <w:r w:rsidR="00517A8F" w:rsidRPr="004B4608">
        <w:rPr>
          <w:sz w:val="22"/>
          <w:szCs w:val="22"/>
        </w:rPr>
        <w:t xml:space="preserve"> that this fr</w:t>
      </w:r>
      <w:r w:rsidRPr="004B4608">
        <w:rPr>
          <w:sz w:val="22"/>
          <w:szCs w:val="22"/>
        </w:rPr>
        <w:t>amework will ena</w:t>
      </w:r>
      <w:r w:rsidR="00B532B9">
        <w:rPr>
          <w:sz w:val="22"/>
          <w:szCs w:val="22"/>
        </w:rPr>
        <w:t>ble a</w:t>
      </w:r>
      <w:r w:rsidR="004B4608" w:rsidRPr="004B4608">
        <w:rPr>
          <w:sz w:val="22"/>
          <w:szCs w:val="22"/>
        </w:rPr>
        <w:t xml:space="preserve"> close fit </w:t>
      </w:r>
      <w:r w:rsidR="004B4608">
        <w:rPr>
          <w:sz w:val="22"/>
          <w:szCs w:val="22"/>
        </w:rPr>
        <w:t>to be found</w:t>
      </w:r>
      <w:r>
        <w:rPr>
          <w:sz w:val="22"/>
          <w:szCs w:val="22"/>
        </w:rPr>
        <w:t xml:space="preserve"> for the funding of the vast majority of EHCPs</w:t>
      </w:r>
      <w:r w:rsidR="004B4608">
        <w:rPr>
          <w:sz w:val="22"/>
          <w:szCs w:val="22"/>
        </w:rPr>
        <w:t xml:space="preserve"> and will</w:t>
      </w:r>
      <w:r w:rsidR="00517A8F">
        <w:rPr>
          <w:sz w:val="22"/>
          <w:szCs w:val="22"/>
        </w:rPr>
        <w:t xml:space="preserve"> ensure consistency </w:t>
      </w:r>
      <w:r w:rsidR="004B4608">
        <w:rPr>
          <w:sz w:val="22"/>
          <w:szCs w:val="22"/>
        </w:rPr>
        <w:t>of</w:t>
      </w:r>
      <w:r w:rsidR="00517A8F">
        <w:rPr>
          <w:sz w:val="22"/>
          <w:szCs w:val="22"/>
        </w:rPr>
        <w:t xml:space="preserve"> ap</w:t>
      </w:r>
      <w:r w:rsidR="004B4608">
        <w:rPr>
          <w:sz w:val="22"/>
          <w:szCs w:val="22"/>
        </w:rPr>
        <w:t>proach in</w:t>
      </w:r>
      <w:r w:rsidR="00B532B9">
        <w:rPr>
          <w:sz w:val="22"/>
          <w:szCs w:val="22"/>
        </w:rPr>
        <w:t xml:space="preserve"> the funding of high needs across</w:t>
      </w:r>
      <w:r w:rsidR="00517A8F">
        <w:rPr>
          <w:sz w:val="22"/>
          <w:szCs w:val="22"/>
        </w:rPr>
        <w:t xml:space="preserve"> mainstream and specialist settings</w:t>
      </w:r>
      <w:r w:rsidR="00C1546B">
        <w:rPr>
          <w:sz w:val="22"/>
          <w:szCs w:val="22"/>
        </w:rPr>
        <w:t xml:space="preserve"> both pre and post 16</w:t>
      </w:r>
      <w:r w:rsidR="00517A8F">
        <w:rPr>
          <w:sz w:val="22"/>
          <w:szCs w:val="22"/>
        </w:rPr>
        <w:t>. It is accepted that there will be a small number of children or young people t</w:t>
      </w:r>
      <w:r>
        <w:rPr>
          <w:sz w:val="22"/>
          <w:szCs w:val="22"/>
        </w:rPr>
        <w:t>hat will sit outside this banded</w:t>
      </w:r>
      <w:r w:rsidR="00517A8F">
        <w:rPr>
          <w:sz w:val="22"/>
          <w:szCs w:val="22"/>
        </w:rPr>
        <w:t xml:space="preserve"> framework; most of whom will be placed in specialist independent provisions.</w:t>
      </w:r>
    </w:p>
    <w:p w:rsidR="003D48F0" w:rsidRDefault="003D48F0" w:rsidP="00517A8F">
      <w:pPr>
        <w:jc w:val="both"/>
        <w:rPr>
          <w:sz w:val="22"/>
          <w:szCs w:val="22"/>
        </w:rPr>
      </w:pPr>
    </w:p>
    <w:p w:rsidR="006C075F" w:rsidRPr="006C075F" w:rsidRDefault="006C075F" w:rsidP="00A75215">
      <w:pPr>
        <w:jc w:val="both"/>
        <w:rPr>
          <w:sz w:val="22"/>
          <w:szCs w:val="22"/>
        </w:rPr>
      </w:pPr>
      <w:r>
        <w:rPr>
          <w:sz w:val="22"/>
          <w:szCs w:val="22"/>
        </w:rPr>
        <w:t>6.7</w:t>
      </w:r>
      <w:r w:rsidR="001230A4">
        <w:rPr>
          <w:sz w:val="22"/>
          <w:szCs w:val="22"/>
        </w:rPr>
        <w:t xml:space="preserve"> The</w:t>
      </w:r>
      <w:r>
        <w:rPr>
          <w:sz w:val="22"/>
          <w:szCs w:val="22"/>
        </w:rPr>
        <w:t xml:space="preserve"> Finance Regulations provide for a Minimum Funding Guarantee (MFG)</w:t>
      </w:r>
      <w:r w:rsidR="001230A4">
        <w:rPr>
          <w:sz w:val="22"/>
          <w:szCs w:val="22"/>
        </w:rPr>
        <w:t xml:space="preserve"> for special schools</w:t>
      </w:r>
      <w:r>
        <w:rPr>
          <w:sz w:val="22"/>
          <w:szCs w:val="22"/>
        </w:rPr>
        <w:t>, which is invoked when an authority substantially amends its approach to top-up funding to the extent that this would reduce the budget</w:t>
      </w:r>
      <w:r w:rsidR="001230A4">
        <w:rPr>
          <w:sz w:val="22"/>
          <w:szCs w:val="22"/>
        </w:rPr>
        <w:t xml:space="preserve"> of (or reduce any increase that would have otherwise been allocated to)</w:t>
      </w:r>
      <w:r>
        <w:rPr>
          <w:sz w:val="22"/>
          <w:szCs w:val="22"/>
        </w:rPr>
        <w:t xml:space="preserve"> a special school. The 2020/21 </w:t>
      </w:r>
      <w:r w:rsidRPr="00C825C0">
        <w:rPr>
          <w:sz w:val="22"/>
          <w:szCs w:val="22"/>
        </w:rPr>
        <w:t xml:space="preserve">Regulations require an MFG of </w:t>
      </w:r>
      <w:r w:rsidR="00414949">
        <w:rPr>
          <w:sz w:val="22"/>
          <w:szCs w:val="22"/>
        </w:rPr>
        <w:t>0</w:t>
      </w:r>
      <w:r w:rsidRPr="00C825C0">
        <w:rPr>
          <w:sz w:val="22"/>
          <w:szCs w:val="22"/>
        </w:rPr>
        <w:t xml:space="preserve">%. As our new model proposes to increase the values of all EHCPs by a minimum value of 8.2% we </w:t>
      </w:r>
      <w:r>
        <w:rPr>
          <w:sz w:val="22"/>
          <w:szCs w:val="22"/>
        </w:rPr>
        <w:t>are compliant with the requirements of the MFG without needing to</w:t>
      </w:r>
      <w:r w:rsidR="001230A4">
        <w:rPr>
          <w:sz w:val="22"/>
          <w:szCs w:val="22"/>
        </w:rPr>
        <w:t xml:space="preserve"> adjust</w:t>
      </w:r>
      <w:r>
        <w:rPr>
          <w:sz w:val="22"/>
          <w:szCs w:val="22"/>
        </w:rPr>
        <w:t xml:space="preserve"> our model to provide for minimum values.</w:t>
      </w:r>
    </w:p>
    <w:p w:rsidR="006C075F" w:rsidRDefault="006C075F" w:rsidP="00A75215">
      <w:pPr>
        <w:jc w:val="both"/>
        <w:rPr>
          <w:sz w:val="22"/>
          <w:szCs w:val="22"/>
        </w:rPr>
      </w:pPr>
    </w:p>
    <w:p w:rsidR="00A75215" w:rsidRDefault="001B1A21" w:rsidP="00A75215">
      <w:pPr>
        <w:jc w:val="both"/>
        <w:rPr>
          <w:sz w:val="22"/>
          <w:szCs w:val="22"/>
        </w:rPr>
      </w:pPr>
      <w:r>
        <w:rPr>
          <w:sz w:val="22"/>
          <w:szCs w:val="22"/>
        </w:rPr>
        <w:t>6</w:t>
      </w:r>
      <w:r w:rsidR="004B4608">
        <w:rPr>
          <w:sz w:val="22"/>
          <w:szCs w:val="22"/>
        </w:rPr>
        <w:t>.</w:t>
      </w:r>
      <w:r w:rsidR="006C075F">
        <w:rPr>
          <w:sz w:val="22"/>
          <w:szCs w:val="22"/>
        </w:rPr>
        <w:t>8</w:t>
      </w:r>
      <w:r w:rsidR="00A75215">
        <w:rPr>
          <w:sz w:val="22"/>
          <w:szCs w:val="22"/>
        </w:rPr>
        <w:t xml:space="preserve"> </w:t>
      </w:r>
      <w:r w:rsidR="00A75215" w:rsidRPr="00AB6CCA">
        <w:rPr>
          <w:sz w:val="22"/>
          <w:szCs w:val="22"/>
        </w:rPr>
        <w:t xml:space="preserve">For the </w:t>
      </w:r>
      <w:r w:rsidR="00A75215">
        <w:rPr>
          <w:sz w:val="22"/>
          <w:szCs w:val="22"/>
        </w:rPr>
        <w:t xml:space="preserve">Pupil-Led Need top-up </w:t>
      </w:r>
      <w:r w:rsidR="00A75215" w:rsidRPr="00AB6CCA">
        <w:rPr>
          <w:sz w:val="22"/>
          <w:szCs w:val="22"/>
        </w:rPr>
        <w:t>funding of post 16 high needs students</w:t>
      </w:r>
      <w:r w:rsidR="003C30ED">
        <w:rPr>
          <w:sz w:val="22"/>
          <w:szCs w:val="22"/>
        </w:rPr>
        <w:t xml:space="preserve"> with EHCPs</w:t>
      </w:r>
      <w:r w:rsidR="00A75215" w:rsidRPr="00AB6CCA">
        <w:rPr>
          <w:sz w:val="22"/>
          <w:szCs w:val="22"/>
        </w:rPr>
        <w:t xml:space="preserve"> in the Further Education sector, it has been agreed</w:t>
      </w:r>
      <w:r w:rsidR="004B4608">
        <w:rPr>
          <w:sz w:val="22"/>
          <w:szCs w:val="22"/>
        </w:rPr>
        <w:t xml:space="preserve"> previously</w:t>
      </w:r>
      <w:r w:rsidR="00A75215" w:rsidRPr="00AB6CCA">
        <w:rPr>
          <w:sz w:val="22"/>
          <w:szCs w:val="22"/>
        </w:rPr>
        <w:t xml:space="preserve"> with the relevant providers that, as, on average, colleges deliver around 60% of the hours delivered by schools, colleges </w:t>
      </w:r>
      <w:r w:rsidR="00A75215">
        <w:rPr>
          <w:sz w:val="22"/>
          <w:szCs w:val="22"/>
        </w:rPr>
        <w:t>are</w:t>
      </w:r>
      <w:r w:rsidR="00A75215" w:rsidRPr="00AB6CCA">
        <w:rPr>
          <w:sz w:val="22"/>
          <w:szCs w:val="22"/>
        </w:rPr>
        <w:t xml:space="preserve"> funded for the vast majority</w:t>
      </w:r>
      <w:r w:rsidR="004B4608">
        <w:rPr>
          <w:sz w:val="22"/>
          <w:szCs w:val="22"/>
        </w:rPr>
        <w:t xml:space="preserve"> of students at 60% of the Banded</w:t>
      </w:r>
      <w:r w:rsidR="00A75215" w:rsidRPr="00AB6CCA">
        <w:rPr>
          <w:sz w:val="22"/>
          <w:szCs w:val="22"/>
        </w:rPr>
        <w:t xml:space="preserve"> Model value for the primary need of the </w:t>
      </w:r>
      <w:r w:rsidR="00A75215" w:rsidRPr="00642CD9">
        <w:rPr>
          <w:sz w:val="22"/>
          <w:szCs w:val="22"/>
        </w:rPr>
        <w:t>student. The exception</w:t>
      </w:r>
      <w:r w:rsidR="00A75215">
        <w:rPr>
          <w:sz w:val="22"/>
          <w:szCs w:val="22"/>
        </w:rPr>
        <w:t>s</w:t>
      </w:r>
      <w:r w:rsidR="00A75215" w:rsidRPr="00642CD9">
        <w:rPr>
          <w:sz w:val="22"/>
          <w:szCs w:val="22"/>
        </w:rPr>
        <w:t xml:space="preserve"> </w:t>
      </w:r>
      <w:r w:rsidR="00A75215">
        <w:rPr>
          <w:sz w:val="22"/>
          <w:szCs w:val="22"/>
        </w:rPr>
        <w:t>are</w:t>
      </w:r>
      <w:r w:rsidR="00A75215" w:rsidRPr="00642CD9">
        <w:rPr>
          <w:sz w:val="22"/>
          <w:szCs w:val="22"/>
        </w:rPr>
        <w:t xml:space="preserve"> students with the primary need of sensory impairment (H</w:t>
      </w:r>
      <w:r w:rsidR="00A75215">
        <w:rPr>
          <w:sz w:val="22"/>
          <w:szCs w:val="22"/>
        </w:rPr>
        <w:t>earing / Visual), where funding</w:t>
      </w:r>
      <w:r w:rsidR="00A75215" w:rsidRPr="00642CD9">
        <w:rPr>
          <w:sz w:val="22"/>
          <w:szCs w:val="22"/>
        </w:rPr>
        <w:t xml:space="preserve"> continue</w:t>
      </w:r>
      <w:r w:rsidR="00A75215">
        <w:rPr>
          <w:sz w:val="22"/>
          <w:szCs w:val="22"/>
        </w:rPr>
        <w:t>s</w:t>
      </w:r>
      <w:r w:rsidR="00A75215" w:rsidRPr="00642CD9">
        <w:rPr>
          <w:sz w:val="22"/>
          <w:szCs w:val="22"/>
        </w:rPr>
        <w:t xml:space="preserve"> to be allocated on an actual cost basis. Due to the specific support needs of these students in Further Education, and the diverse nature of their curr</w:t>
      </w:r>
      <w:r w:rsidR="00A75215">
        <w:rPr>
          <w:sz w:val="22"/>
          <w:szCs w:val="22"/>
        </w:rPr>
        <w:t>iculum choices</w:t>
      </w:r>
      <w:r w:rsidR="00A75215" w:rsidRPr="00642CD9">
        <w:rPr>
          <w:sz w:val="22"/>
          <w:szCs w:val="22"/>
        </w:rPr>
        <w:t>, it is not possible to formularise this funding element.</w:t>
      </w:r>
      <w:r w:rsidR="004B4608">
        <w:rPr>
          <w:sz w:val="22"/>
          <w:szCs w:val="22"/>
        </w:rPr>
        <w:t xml:space="preserve"> We propose to continue this approach in the application of the new Banded Model from April 2020. </w:t>
      </w:r>
    </w:p>
    <w:p w:rsidR="00517A8F" w:rsidRDefault="00517A8F" w:rsidP="00517A8F">
      <w:pPr>
        <w:jc w:val="both"/>
        <w:rPr>
          <w:sz w:val="22"/>
          <w:szCs w:val="22"/>
        </w:rPr>
      </w:pPr>
    </w:p>
    <w:p w:rsidR="000E5E2B" w:rsidRDefault="001B1A21" w:rsidP="000E5E2B">
      <w:pPr>
        <w:jc w:val="both"/>
        <w:rPr>
          <w:sz w:val="22"/>
          <w:szCs w:val="22"/>
        </w:rPr>
      </w:pPr>
      <w:r>
        <w:rPr>
          <w:sz w:val="22"/>
          <w:szCs w:val="22"/>
        </w:rPr>
        <w:t>6</w:t>
      </w:r>
      <w:r w:rsidR="003D48F0">
        <w:rPr>
          <w:sz w:val="22"/>
          <w:szCs w:val="22"/>
        </w:rPr>
        <w:t>.</w:t>
      </w:r>
      <w:r w:rsidR="006C075F">
        <w:rPr>
          <w:sz w:val="22"/>
          <w:szCs w:val="22"/>
        </w:rPr>
        <w:t>9</w:t>
      </w:r>
      <w:r w:rsidR="000E5E2B">
        <w:rPr>
          <w:sz w:val="22"/>
          <w:szCs w:val="22"/>
        </w:rPr>
        <w:t xml:space="preserve"> </w:t>
      </w:r>
      <w:r w:rsidR="005E6A25">
        <w:rPr>
          <w:sz w:val="22"/>
          <w:szCs w:val="22"/>
        </w:rPr>
        <w:t>The</w:t>
      </w:r>
      <w:r w:rsidR="000E5E2B">
        <w:rPr>
          <w:sz w:val="22"/>
          <w:szCs w:val="22"/>
        </w:rPr>
        <w:t xml:space="preserve"> total value of top-up funding owed to an institution by Bradford Coun</w:t>
      </w:r>
      <w:r w:rsidR="00F92AD8">
        <w:rPr>
          <w:sz w:val="22"/>
          <w:szCs w:val="22"/>
        </w:rPr>
        <w:t>cil, calculated using the Banded Model, will continue</w:t>
      </w:r>
      <w:r w:rsidR="001230A4">
        <w:rPr>
          <w:sz w:val="22"/>
          <w:szCs w:val="22"/>
        </w:rPr>
        <w:t xml:space="preserve"> in 2020/21</w:t>
      </w:r>
      <w:r w:rsidR="00F92AD8">
        <w:rPr>
          <w:sz w:val="22"/>
          <w:szCs w:val="22"/>
        </w:rPr>
        <w:t xml:space="preserve"> to be </w:t>
      </w:r>
      <w:r w:rsidR="006C075F">
        <w:rPr>
          <w:sz w:val="22"/>
          <w:szCs w:val="22"/>
        </w:rPr>
        <w:t xml:space="preserve">calculated and </w:t>
      </w:r>
      <w:r w:rsidR="00F92AD8">
        <w:rPr>
          <w:sz w:val="22"/>
          <w:szCs w:val="22"/>
        </w:rPr>
        <w:t xml:space="preserve">paid as now </w:t>
      </w:r>
      <w:r w:rsidR="000E5E2B">
        <w:rPr>
          <w:sz w:val="22"/>
          <w:szCs w:val="22"/>
        </w:rPr>
        <w:t>on a monthly basis</w:t>
      </w:r>
      <w:r w:rsidR="002A176F">
        <w:rPr>
          <w:sz w:val="22"/>
          <w:szCs w:val="22"/>
        </w:rPr>
        <w:t>. Th</w:t>
      </w:r>
      <w:r w:rsidR="00B532B9">
        <w:rPr>
          <w:sz w:val="22"/>
          <w:szCs w:val="22"/>
        </w:rPr>
        <w:t>e</w:t>
      </w:r>
      <w:r w:rsidR="002A176F">
        <w:rPr>
          <w:sz w:val="22"/>
          <w:szCs w:val="22"/>
        </w:rPr>
        <w:t xml:space="preserve"> calculation</w:t>
      </w:r>
      <w:r w:rsidR="00B532B9">
        <w:rPr>
          <w:sz w:val="22"/>
          <w:szCs w:val="22"/>
        </w:rPr>
        <w:t xml:space="preserve"> will be</w:t>
      </w:r>
      <w:r w:rsidR="000E5E2B">
        <w:rPr>
          <w:sz w:val="22"/>
          <w:szCs w:val="22"/>
        </w:rPr>
        <w:t xml:space="preserve"> based on the institution’s occupancy recorded on the 10</w:t>
      </w:r>
      <w:r w:rsidR="000E5E2B" w:rsidRPr="006F3C92">
        <w:rPr>
          <w:sz w:val="22"/>
          <w:szCs w:val="22"/>
          <w:vertAlign w:val="superscript"/>
        </w:rPr>
        <w:t>th</w:t>
      </w:r>
      <w:r w:rsidR="000E5E2B">
        <w:rPr>
          <w:sz w:val="22"/>
          <w:szCs w:val="22"/>
        </w:rPr>
        <w:t xml:space="preserve"> day of each month. Where a child or young person is admitted after the 10</w:t>
      </w:r>
      <w:r w:rsidR="000E5E2B" w:rsidRPr="000501E1">
        <w:rPr>
          <w:sz w:val="22"/>
          <w:szCs w:val="22"/>
          <w:vertAlign w:val="superscript"/>
        </w:rPr>
        <w:t>th</w:t>
      </w:r>
      <w:r w:rsidR="000E5E2B">
        <w:rPr>
          <w:sz w:val="22"/>
          <w:szCs w:val="22"/>
        </w:rPr>
        <w:t xml:space="preserve">, top-up funding begins from the next month. </w:t>
      </w:r>
    </w:p>
    <w:p w:rsidR="000E5E2B" w:rsidRDefault="000E5E2B" w:rsidP="000E5E2B">
      <w:pPr>
        <w:jc w:val="both"/>
        <w:rPr>
          <w:sz w:val="22"/>
          <w:szCs w:val="22"/>
        </w:rPr>
      </w:pPr>
    </w:p>
    <w:p w:rsidR="000E5E2B" w:rsidRDefault="006C075F" w:rsidP="00C15620">
      <w:pPr>
        <w:pStyle w:val="ListParagraph"/>
        <w:numPr>
          <w:ilvl w:val="0"/>
          <w:numId w:val="5"/>
        </w:numPr>
        <w:jc w:val="both"/>
        <w:rPr>
          <w:sz w:val="22"/>
          <w:szCs w:val="22"/>
        </w:rPr>
      </w:pPr>
      <w:r>
        <w:rPr>
          <w:sz w:val="22"/>
          <w:szCs w:val="22"/>
        </w:rPr>
        <w:t>R</w:t>
      </w:r>
      <w:r w:rsidRPr="000E5E2B">
        <w:rPr>
          <w:sz w:val="22"/>
          <w:szCs w:val="22"/>
        </w:rPr>
        <w:t xml:space="preserve">etrospective adjustments are made in the </w:t>
      </w:r>
      <w:r>
        <w:rPr>
          <w:sz w:val="22"/>
          <w:szCs w:val="22"/>
        </w:rPr>
        <w:t>subsequent month’s calculations f</w:t>
      </w:r>
      <w:r w:rsidR="000E5E2B" w:rsidRPr="000E5E2B">
        <w:rPr>
          <w:sz w:val="22"/>
          <w:szCs w:val="22"/>
        </w:rPr>
        <w:t>or any errors in the data for a single month, or where the position has been estimated due to the most up to date data not being available (</w:t>
      </w:r>
      <w:r w:rsidR="00B532B9">
        <w:rPr>
          <w:sz w:val="22"/>
          <w:szCs w:val="22"/>
        </w:rPr>
        <w:t xml:space="preserve">for example, </w:t>
      </w:r>
      <w:r w:rsidR="000E5E2B" w:rsidRPr="000E5E2B">
        <w:rPr>
          <w:sz w:val="22"/>
          <w:szCs w:val="22"/>
        </w:rPr>
        <w:t>at September, picking up all chan</w:t>
      </w:r>
      <w:r>
        <w:rPr>
          <w:sz w:val="22"/>
          <w:szCs w:val="22"/>
        </w:rPr>
        <w:t>ges for the new academic year).</w:t>
      </w:r>
    </w:p>
    <w:p w:rsidR="000E5E2B" w:rsidRDefault="000E5E2B" w:rsidP="000E5E2B">
      <w:pPr>
        <w:pStyle w:val="ListParagraph"/>
        <w:jc w:val="both"/>
        <w:rPr>
          <w:sz w:val="22"/>
          <w:szCs w:val="22"/>
        </w:rPr>
      </w:pPr>
    </w:p>
    <w:p w:rsidR="000E5E2B" w:rsidRDefault="000E5E2B" w:rsidP="00C15620">
      <w:pPr>
        <w:pStyle w:val="ListParagraph"/>
        <w:numPr>
          <w:ilvl w:val="0"/>
          <w:numId w:val="5"/>
        </w:numPr>
        <w:jc w:val="both"/>
        <w:rPr>
          <w:sz w:val="22"/>
          <w:szCs w:val="22"/>
        </w:rPr>
      </w:pPr>
      <w:r w:rsidRPr="000E5E2B">
        <w:rPr>
          <w:sz w:val="22"/>
          <w:szCs w:val="22"/>
        </w:rPr>
        <w:t>Funding for August repeats</w:t>
      </w:r>
      <w:r w:rsidR="003A7475">
        <w:rPr>
          <w:sz w:val="22"/>
          <w:szCs w:val="22"/>
        </w:rPr>
        <w:t xml:space="preserve"> the position recorded for July, </w:t>
      </w:r>
      <w:r w:rsidR="001237A3">
        <w:rPr>
          <w:sz w:val="22"/>
          <w:szCs w:val="22"/>
        </w:rPr>
        <w:t>except for</w:t>
      </w:r>
      <w:r w:rsidR="003A7475">
        <w:rPr>
          <w:sz w:val="22"/>
          <w:szCs w:val="22"/>
        </w:rPr>
        <w:t xml:space="preserve"> Further Education</w:t>
      </w:r>
      <w:r w:rsidR="001237A3">
        <w:rPr>
          <w:sz w:val="22"/>
          <w:szCs w:val="22"/>
        </w:rPr>
        <w:t xml:space="preserve"> placements</w:t>
      </w:r>
      <w:r w:rsidR="003A7475">
        <w:rPr>
          <w:sz w:val="22"/>
          <w:szCs w:val="22"/>
        </w:rPr>
        <w:t>, where August’s funding is based on the new academic year</w:t>
      </w:r>
      <w:r w:rsidR="001237A3">
        <w:rPr>
          <w:sz w:val="22"/>
          <w:szCs w:val="22"/>
        </w:rPr>
        <w:t>’s</w:t>
      </w:r>
      <w:r w:rsidR="003A7475">
        <w:rPr>
          <w:sz w:val="22"/>
          <w:szCs w:val="22"/>
        </w:rPr>
        <w:t xml:space="preserve"> position.</w:t>
      </w:r>
    </w:p>
    <w:p w:rsidR="000E5E2B" w:rsidRDefault="000E5E2B" w:rsidP="000E5E2B">
      <w:pPr>
        <w:pStyle w:val="ListParagraph"/>
        <w:jc w:val="both"/>
        <w:rPr>
          <w:sz w:val="22"/>
          <w:szCs w:val="22"/>
        </w:rPr>
      </w:pPr>
    </w:p>
    <w:p w:rsidR="000E5E2B" w:rsidRDefault="000E5E2B" w:rsidP="00C15620">
      <w:pPr>
        <w:pStyle w:val="ListParagraph"/>
        <w:numPr>
          <w:ilvl w:val="0"/>
          <w:numId w:val="5"/>
        </w:numPr>
        <w:jc w:val="both"/>
        <w:rPr>
          <w:sz w:val="22"/>
          <w:szCs w:val="22"/>
        </w:rPr>
      </w:pPr>
      <w:r w:rsidRPr="000E5E2B">
        <w:rPr>
          <w:sz w:val="22"/>
          <w:szCs w:val="22"/>
        </w:rPr>
        <w:t>A ready reckoner is available</w:t>
      </w:r>
      <w:r>
        <w:rPr>
          <w:sz w:val="22"/>
          <w:szCs w:val="22"/>
        </w:rPr>
        <w:t>, which helps institutions</w:t>
      </w:r>
      <w:r w:rsidRPr="000E5E2B">
        <w:rPr>
          <w:sz w:val="22"/>
          <w:szCs w:val="22"/>
        </w:rPr>
        <w:t xml:space="preserve"> predict the impact on </w:t>
      </w:r>
      <w:r>
        <w:rPr>
          <w:sz w:val="22"/>
          <w:szCs w:val="22"/>
        </w:rPr>
        <w:t xml:space="preserve">top-up </w:t>
      </w:r>
      <w:r w:rsidRPr="000E5E2B">
        <w:rPr>
          <w:sz w:val="22"/>
          <w:szCs w:val="22"/>
        </w:rPr>
        <w:t>funding of mov</w:t>
      </w:r>
      <w:r w:rsidR="006C075F">
        <w:rPr>
          <w:sz w:val="22"/>
          <w:szCs w:val="22"/>
        </w:rPr>
        <w:t>ements in pupil numbers / bands</w:t>
      </w:r>
      <w:r w:rsidRPr="000E5E2B">
        <w:rPr>
          <w:sz w:val="22"/>
          <w:szCs w:val="22"/>
        </w:rPr>
        <w:t xml:space="preserve"> on a monthly basis.</w:t>
      </w:r>
    </w:p>
    <w:p w:rsidR="00353596" w:rsidRDefault="00353596" w:rsidP="00353596">
      <w:pPr>
        <w:pStyle w:val="ListParagraph"/>
        <w:jc w:val="both"/>
        <w:rPr>
          <w:sz w:val="22"/>
          <w:szCs w:val="22"/>
        </w:rPr>
      </w:pPr>
    </w:p>
    <w:p w:rsidR="00353596" w:rsidRDefault="00353596" w:rsidP="00C15620">
      <w:pPr>
        <w:pStyle w:val="ListParagraph"/>
        <w:numPr>
          <w:ilvl w:val="0"/>
          <w:numId w:val="5"/>
        </w:numPr>
        <w:jc w:val="both"/>
        <w:rPr>
          <w:sz w:val="22"/>
          <w:szCs w:val="22"/>
        </w:rPr>
      </w:pPr>
      <w:r>
        <w:rPr>
          <w:sz w:val="22"/>
          <w:szCs w:val="22"/>
        </w:rPr>
        <w:t>Bradford Council also published monthly funding</w:t>
      </w:r>
      <w:r w:rsidR="006C075F">
        <w:rPr>
          <w:sz w:val="22"/>
          <w:szCs w:val="22"/>
        </w:rPr>
        <w:t xml:space="preserve"> / payment</w:t>
      </w:r>
      <w:r>
        <w:rPr>
          <w:sz w:val="22"/>
          <w:szCs w:val="22"/>
        </w:rPr>
        <w:t xml:space="preserve"> statements for providers to access.</w:t>
      </w:r>
    </w:p>
    <w:p w:rsidR="002A02E6" w:rsidRPr="002A02E6" w:rsidRDefault="002A02E6" w:rsidP="002A02E6">
      <w:pPr>
        <w:pStyle w:val="ListParagraph"/>
        <w:jc w:val="both"/>
        <w:rPr>
          <w:sz w:val="22"/>
          <w:szCs w:val="22"/>
        </w:rPr>
      </w:pPr>
    </w:p>
    <w:p w:rsidR="006E7F7A" w:rsidRDefault="001B1A21" w:rsidP="006E7F7A">
      <w:pPr>
        <w:jc w:val="both"/>
        <w:rPr>
          <w:sz w:val="22"/>
          <w:szCs w:val="22"/>
        </w:rPr>
      </w:pPr>
      <w:r>
        <w:rPr>
          <w:sz w:val="22"/>
          <w:szCs w:val="22"/>
        </w:rPr>
        <w:t>6</w:t>
      </w:r>
      <w:r w:rsidR="000E5E2B">
        <w:rPr>
          <w:sz w:val="22"/>
          <w:szCs w:val="22"/>
        </w:rPr>
        <w:t>.</w:t>
      </w:r>
      <w:r w:rsidR="006C075F">
        <w:rPr>
          <w:sz w:val="22"/>
          <w:szCs w:val="22"/>
        </w:rPr>
        <w:t>10</w:t>
      </w:r>
      <w:r w:rsidR="006E7F7A">
        <w:rPr>
          <w:sz w:val="22"/>
          <w:szCs w:val="22"/>
        </w:rPr>
        <w:t xml:space="preserve"> </w:t>
      </w:r>
      <w:r w:rsidR="000E5E2B">
        <w:rPr>
          <w:sz w:val="22"/>
          <w:szCs w:val="22"/>
        </w:rPr>
        <w:t>T</w:t>
      </w:r>
      <w:r w:rsidR="006E7F7A" w:rsidRPr="006E3614">
        <w:rPr>
          <w:sz w:val="22"/>
          <w:szCs w:val="22"/>
        </w:rPr>
        <w:t>he process for placing</w:t>
      </w:r>
      <w:r w:rsidR="006E7F7A">
        <w:rPr>
          <w:sz w:val="22"/>
          <w:szCs w:val="22"/>
        </w:rPr>
        <w:t xml:space="preserve"> children and young people</w:t>
      </w:r>
      <w:r w:rsidR="001D050C">
        <w:rPr>
          <w:sz w:val="22"/>
          <w:szCs w:val="22"/>
        </w:rPr>
        <w:t xml:space="preserve"> with EHCPs</w:t>
      </w:r>
      <w:r w:rsidR="006C075F">
        <w:rPr>
          <w:sz w:val="22"/>
          <w:szCs w:val="22"/>
        </w:rPr>
        <w:t xml:space="preserve"> into the Banded</w:t>
      </w:r>
      <w:r w:rsidR="001230A4">
        <w:rPr>
          <w:sz w:val="22"/>
          <w:szCs w:val="22"/>
        </w:rPr>
        <w:t xml:space="preserve"> Model will continue to be</w:t>
      </w:r>
      <w:r w:rsidR="006E7F7A" w:rsidRPr="006E3614">
        <w:rPr>
          <w:sz w:val="22"/>
          <w:szCs w:val="22"/>
        </w:rPr>
        <w:t xml:space="preserve"> led </w:t>
      </w:r>
      <w:r w:rsidR="006E7F7A">
        <w:rPr>
          <w:sz w:val="22"/>
          <w:szCs w:val="22"/>
        </w:rPr>
        <w:t>by the Council</w:t>
      </w:r>
      <w:r w:rsidR="006C075F">
        <w:rPr>
          <w:sz w:val="22"/>
          <w:szCs w:val="22"/>
        </w:rPr>
        <w:t xml:space="preserve"> via the</w:t>
      </w:r>
      <w:r w:rsidR="000E5E2B">
        <w:rPr>
          <w:sz w:val="22"/>
          <w:szCs w:val="22"/>
        </w:rPr>
        <w:t xml:space="preserve"> established </w:t>
      </w:r>
      <w:r w:rsidR="006C075F">
        <w:rPr>
          <w:sz w:val="22"/>
          <w:szCs w:val="22"/>
        </w:rPr>
        <w:t xml:space="preserve">SEND Panel and the application and assessment processes this Panel manages. Any appeals </w:t>
      </w:r>
      <w:r w:rsidR="001230A4">
        <w:rPr>
          <w:sz w:val="22"/>
          <w:szCs w:val="22"/>
        </w:rPr>
        <w:t>(</w:t>
      </w:r>
      <w:r w:rsidR="006C075F">
        <w:rPr>
          <w:sz w:val="22"/>
          <w:szCs w:val="22"/>
        </w:rPr>
        <w:t>or disputes</w:t>
      </w:r>
      <w:r w:rsidR="001230A4">
        <w:rPr>
          <w:sz w:val="22"/>
          <w:szCs w:val="22"/>
        </w:rPr>
        <w:t>)</w:t>
      </w:r>
      <w:r w:rsidR="006C075F">
        <w:rPr>
          <w:sz w:val="22"/>
          <w:szCs w:val="22"/>
        </w:rPr>
        <w:t xml:space="preserve"> will be managed by the Panel through its resolution procedure.</w:t>
      </w:r>
      <w:r w:rsidR="001230A4">
        <w:rPr>
          <w:sz w:val="22"/>
          <w:szCs w:val="22"/>
        </w:rPr>
        <w:t xml:space="preserve"> The</w:t>
      </w:r>
      <w:r w:rsidR="00C37B4B">
        <w:rPr>
          <w:sz w:val="22"/>
          <w:szCs w:val="22"/>
        </w:rPr>
        <w:t xml:space="preserve"> Council</w:t>
      </w:r>
      <w:r w:rsidR="001230A4">
        <w:rPr>
          <w:sz w:val="22"/>
          <w:szCs w:val="22"/>
        </w:rPr>
        <w:t xml:space="preserve"> is currently working on improved guidance for</w:t>
      </w:r>
      <w:r w:rsidR="00C37B4B">
        <w:rPr>
          <w:sz w:val="22"/>
          <w:szCs w:val="22"/>
        </w:rPr>
        <w:t xml:space="preserve"> the Panel process, including guidance for schools on what information is needed in support of an EHCP assessment request.</w:t>
      </w:r>
      <w:r w:rsidR="001230A4">
        <w:rPr>
          <w:sz w:val="22"/>
          <w:szCs w:val="22"/>
        </w:rPr>
        <w:t xml:space="preserve"> </w:t>
      </w:r>
    </w:p>
    <w:p w:rsidR="00897157" w:rsidRPr="006C075F" w:rsidRDefault="00897157" w:rsidP="006C075F">
      <w:pPr>
        <w:jc w:val="both"/>
        <w:rPr>
          <w:sz w:val="22"/>
          <w:szCs w:val="22"/>
        </w:rPr>
      </w:pPr>
    </w:p>
    <w:p w:rsidR="00395FE8" w:rsidRDefault="00414949" w:rsidP="001B416B">
      <w:pPr>
        <w:jc w:val="both"/>
        <w:rPr>
          <w:b/>
          <w:color w:val="548DD4" w:themeColor="text2" w:themeTint="99"/>
          <w:sz w:val="22"/>
          <w:szCs w:val="22"/>
        </w:rPr>
      </w:pPr>
      <w:r>
        <w:rPr>
          <w:b/>
          <w:color w:val="548DD4" w:themeColor="text2" w:themeTint="99"/>
          <w:sz w:val="22"/>
          <w:szCs w:val="22"/>
        </w:rPr>
        <w:t>Question 1</w:t>
      </w:r>
      <w:r w:rsidR="00380B51">
        <w:rPr>
          <w:b/>
          <w:color w:val="548DD4" w:themeColor="text2" w:themeTint="99"/>
          <w:sz w:val="22"/>
          <w:szCs w:val="22"/>
        </w:rPr>
        <w:t xml:space="preserve"> – Do you agree with the new Banded Model proposed by the Local Authority as set out in Appendix 3? If not, please can you explain why not.</w:t>
      </w:r>
    </w:p>
    <w:p w:rsidR="00380B51" w:rsidRDefault="00380B51" w:rsidP="001B416B">
      <w:pPr>
        <w:jc w:val="both"/>
        <w:rPr>
          <w:b/>
          <w:color w:val="548DD4" w:themeColor="text2" w:themeTint="99"/>
          <w:sz w:val="22"/>
          <w:szCs w:val="22"/>
        </w:rPr>
      </w:pPr>
    </w:p>
    <w:p w:rsidR="00414949" w:rsidRDefault="00414949" w:rsidP="001B416B">
      <w:pPr>
        <w:jc w:val="both"/>
        <w:rPr>
          <w:b/>
          <w:color w:val="548DD4" w:themeColor="text2" w:themeTint="99"/>
          <w:sz w:val="22"/>
          <w:szCs w:val="22"/>
        </w:rPr>
      </w:pPr>
      <w:r>
        <w:rPr>
          <w:b/>
          <w:color w:val="548DD4" w:themeColor="text2" w:themeTint="99"/>
          <w:sz w:val="22"/>
          <w:szCs w:val="22"/>
        </w:rPr>
        <w:t>Question 2</w:t>
      </w:r>
      <w:r w:rsidR="00380B51">
        <w:rPr>
          <w:b/>
          <w:color w:val="548DD4" w:themeColor="text2" w:themeTint="99"/>
          <w:sz w:val="22"/>
          <w:szCs w:val="22"/>
        </w:rPr>
        <w:t xml:space="preserve"> – Do you agree with the transition approach to the new model that is proposed by the Local Authority? If not,</w:t>
      </w:r>
      <w:r w:rsidR="00A6750E">
        <w:rPr>
          <w:b/>
          <w:color w:val="548DD4" w:themeColor="text2" w:themeTint="99"/>
          <w:sz w:val="22"/>
          <w:szCs w:val="22"/>
        </w:rPr>
        <w:t xml:space="preserve"> please can you explain why not.</w:t>
      </w:r>
    </w:p>
    <w:p w:rsidR="00380B51" w:rsidRDefault="00380B51" w:rsidP="001B416B">
      <w:pPr>
        <w:jc w:val="both"/>
        <w:rPr>
          <w:b/>
          <w:color w:val="548DD4" w:themeColor="text2" w:themeTint="99"/>
          <w:sz w:val="22"/>
          <w:szCs w:val="22"/>
        </w:rPr>
      </w:pPr>
    </w:p>
    <w:p w:rsidR="00414949" w:rsidRDefault="00414949" w:rsidP="001B416B">
      <w:pPr>
        <w:jc w:val="both"/>
        <w:rPr>
          <w:b/>
          <w:color w:val="548DD4" w:themeColor="text2" w:themeTint="99"/>
          <w:sz w:val="22"/>
          <w:szCs w:val="22"/>
        </w:rPr>
      </w:pPr>
      <w:r>
        <w:rPr>
          <w:b/>
          <w:color w:val="548DD4" w:themeColor="text2" w:themeTint="99"/>
          <w:sz w:val="22"/>
          <w:szCs w:val="22"/>
        </w:rPr>
        <w:t>Question 3</w:t>
      </w:r>
      <w:r w:rsidR="00380B51">
        <w:rPr>
          <w:b/>
          <w:color w:val="548DD4" w:themeColor="text2" w:themeTint="99"/>
          <w:sz w:val="22"/>
          <w:szCs w:val="22"/>
        </w:rPr>
        <w:t xml:space="preserve"> – Do you have any comments (including technical comments) on the proposed new Banded Model you would like the Authority to consider? </w:t>
      </w:r>
    </w:p>
    <w:p w:rsidR="00380B51" w:rsidRDefault="00380B51" w:rsidP="001B416B">
      <w:pPr>
        <w:jc w:val="both"/>
        <w:rPr>
          <w:sz w:val="22"/>
          <w:szCs w:val="22"/>
        </w:rPr>
      </w:pPr>
    </w:p>
    <w:p w:rsidR="00E724B2" w:rsidRDefault="00E724B2" w:rsidP="001B416B">
      <w:pPr>
        <w:jc w:val="both"/>
        <w:rPr>
          <w:sz w:val="22"/>
          <w:szCs w:val="22"/>
        </w:rPr>
      </w:pPr>
    </w:p>
    <w:p w:rsidR="00C6158B" w:rsidRPr="001B1A21" w:rsidRDefault="001B1A21" w:rsidP="00C6158B">
      <w:pPr>
        <w:jc w:val="both"/>
        <w:rPr>
          <w:sz w:val="22"/>
          <w:szCs w:val="22"/>
        </w:rPr>
      </w:pPr>
      <w:r w:rsidRPr="001B1A21">
        <w:rPr>
          <w:b/>
          <w:sz w:val="22"/>
          <w:szCs w:val="22"/>
        </w:rPr>
        <w:t>7</w:t>
      </w:r>
      <w:r w:rsidR="00C6158B" w:rsidRPr="001B1A21">
        <w:rPr>
          <w:b/>
          <w:sz w:val="22"/>
          <w:szCs w:val="22"/>
        </w:rPr>
        <w:t>.</w:t>
      </w:r>
      <w:r w:rsidR="00C6158B" w:rsidRPr="001B1A21">
        <w:rPr>
          <w:b/>
          <w:sz w:val="22"/>
          <w:szCs w:val="22"/>
        </w:rPr>
        <w:tab/>
        <w:t>Top-Up Funding: Setting-Led Need</w:t>
      </w:r>
      <w:r w:rsidR="008237ED" w:rsidRPr="001B1A21">
        <w:rPr>
          <w:b/>
          <w:sz w:val="22"/>
          <w:szCs w:val="22"/>
        </w:rPr>
        <w:t xml:space="preserve"> in Specialist Settings</w:t>
      </w:r>
    </w:p>
    <w:p w:rsidR="00C42B9F" w:rsidRDefault="00C42B9F" w:rsidP="00C6158B">
      <w:pPr>
        <w:jc w:val="both"/>
        <w:rPr>
          <w:sz w:val="22"/>
          <w:szCs w:val="22"/>
        </w:rPr>
      </w:pPr>
    </w:p>
    <w:p w:rsidR="006A1CED" w:rsidRDefault="001B1A21" w:rsidP="00C6158B">
      <w:pPr>
        <w:jc w:val="both"/>
        <w:rPr>
          <w:sz w:val="22"/>
          <w:szCs w:val="22"/>
        </w:rPr>
      </w:pPr>
      <w:r>
        <w:rPr>
          <w:sz w:val="22"/>
          <w:szCs w:val="22"/>
        </w:rPr>
        <w:t>7</w:t>
      </w:r>
      <w:r w:rsidR="00C42B9F">
        <w:rPr>
          <w:sz w:val="22"/>
          <w:szCs w:val="22"/>
        </w:rPr>
        <w:t>.1 Top-up funding can reflect costs (and differences in costs) related to the setting that the child or young person is placed at. In this document this is called ‘Setting-Led Need’.</w:t>
      </w:r>
    </w:p>
    <w:p w:rsidR="00E724B2" w:rsidRDefault="00E724B2" w:rsidP="00C6158B">
      <w:pPr>
        <w:jc w:val="both"/>
        <w:rPr>
          <w:sz w:val="22"/>
          <w:szCs w:val="22"/>
        </w:rPr>
      </w:pPr>
    </w:p>
    <w:p w:rsidR="006A1CED" w:rsidRDefault="001B1A21" w:rsidP="00C6158B">
      <w:pPr>
        <w:jc w:val="both"/>
        <w:rPr>
          <w:sz w:val="22"/>
          <w:szCs w:val="22"/>
        </w:rPr>
      </w:pPr>
      <w:r>
        <w:rPr>
          <w:sz w:val="22"/>
          <w:szCs w:val="22"/>
        </w:rPr>
        <w:t>7</w:t>
      </w:r>
      <w:r w:rsidR="006A1CED">
        <w:rPr>
          <w:sz w:val="22"/>
          <w:szCs w:val="22"/>
        </w:rPr>
        <w:t xml:space="preserve">.2 Place-funding is expected to meet </w:t>
      </w:r>
      <w:r w:rsidR="00BE09CD">
        <w:rPr>
          <w:sz w:val="22"/>
          <w:szCs w:val="22"/>
        </w:rPr>
        <w:t>a school’s</w:t>
      </w:r>
      <w:r w:rsidR="006A1CED">
        <w:rPr>
          <w:sz w:val="22"/>
          <w:szCs w:val="22"/>
        </w:rPr>
        <w:t xml:space="preserve"> b</w:t>
      </w:r>
      <w:r w:rsidR="00BE09CD">
        <w:rPr>
          <w:sz w:val="22"/>
          <w:szCs w:val="22"/>
        </w:rPr>
        <w:t xml:space="preserve">asic core costs. However, our current funding model recognises that there are certain differences in a school’s cost base that are influenced by the features of the setting. Two simple examples are that the setting is small and requires </w:t>
      </w:r>
      <w:r w:rsidR="00ED5103">
        <w:rPr>
          <w:sz w:val="22"/>
          <w:szCs w:val="22"/>
        </w:rPr>
        <w:t>additional funding to meet</w:t>
      </w:r>
      <w:r w:rsidR="00BE09CD">
        <w:rPr>
          <w:sz w:val="22"/>
          <w:szCs w:val="22"/>
        </w:rPr>
        <w:t xml:space="preserve"> core costs </w:t>
      </w:r>
      <w:r w:rsidR="00AD04E6">
        <w:rPr>
          <w:sz w:val="22"/>
          <w:szCs w:val="22"/>
        </w:rPr>
        <w:t xml:space="preserve">of a fixed nature </w:t>
      </w:r>
      <w:r w:rsidR="00BE09CD">
        <w:rPr>
          <w:sz w:val="22"/>
          <w:szCs w:val="22"/>
        </w:rPr>
        <w:t xml:space="preserve">and the setting operates across a split-site and therefore, has </w:t>
      </w:r>
      <w:r w:rsidR="00721953">
        <w:rPr>
          <w:sz w:val="22"/>
          <w:szCs w:val="22"/>
        </w:rPr>
        <w:t>certain duplicated</w:t>
      </w:r>
      <w:r w:rsidR="009968E9">
        <w:rPr>
          <w:sz w:val="22"/>
          <w:szCs w:val="22"/>
        </w:rPr>
        <w:t xml:space="preserve"> and additional</w:t>
      </w:r>
      <w:r w:rsidR="00BE09CD">
        <w:rPr>
          <w:sz w:val="22"/>
          <w:szCs w:val="22"/>
        </w:rPr>
        <w:t xml:space="preserve"> costs.</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.3</w:t>
      </w:r>
      <w:r w:rsidR="00C42B9F">
        <w:rPr>
          <w:sz w:val="22"/>
          <w:szCs w:val="22"/>
        </w:rPr>
        <w:t xml:space="preserve"> </w:t>
      </w:r>
      <w:r w:rsidR="00C42B9F" w:rsidRPr="00ED5103">
        <w:rPr>
          <w:sz w:val="22"/>
          <w:szCs w:val="22"/>
        </w:rPr>
        <w:t xml:space="preserve">Appendix </w:t>
      </w:r>
      <w:r w:rsidR="00ED5103" w:rsidRPr="00ED5103">
        <w:rPr>
          <w:sz w:val="22"/>
          <w:szCs w:val="22"/>
        </w:rPr>
        <w:t>4</w:t>
      </w:r>
      <w:r w:rsidR="00C42B9F" w:rsidRPr="00ED5103">
        <w:rPr>
          <w:sz w:val="22"/>
          <w:szCs w:val="22"/>
        </w:rPr>
        <w:t xml:space="preserve"> sets </w:t>
      </w:r>
      <w:r w:rsidR="00C42B9F">
        <w:rPr>
          <w:sz w:val="22"/>
          <w:szCs w:val="22"/>
        </w:rPr>
        <w:t>o</w:t>
      </w:r>
      <w:r w:rsidR="00604725">
        <w:rPr>
          <w:sz w:val="22"/>
          <w:szCs w:val="22"/>
        </w:rPr>
        <w:t>ut in more technical detail</w:t>
      </w:r>
      <w:r w:rsidR="00C42B9F">
        <w:rPr>
          <w:sz w:val="22"/>
          <w:szCs w:val="22"/>
        </w:rPr>
        <w:t xml:space="preserve"> these factors </w:t>
      </w:r>
      <w:r w:rsidR="00FF0C91">
        <w:rPr>
          <w:sz w:val="22"/>
          <w:szCs w:val="22"/>
        </w:rPr>
        <w:t>w</w:t>
      </w:r>
      <w:r w:rsidR="009968E9">
        <w:rPr>
          <w:sz w:val="22"/>
          <w:szCs w:val="22"/>
        </w:rPr>
        <w:t>ithin Bradford Council’s</w:t>
      </w:r>
      <w:r w:rsidR="00ED5103">
        <w:rPr>
          <w:sz w:val="22"/>
          <w:szCs w:val="22"/>
        </w:rPr>
        <w:t xml:space="preserve"> proposed</w:t>
      </w:r>
      <w:r w:rsidR="00FF0C91">
        <w:rPr>
          <w:sz w:val="22"/>
          <w:szCs w:val="22"/>
        </w:rPr>
        <w:t xml:space="preserve"> funding approach </w:t>
      </w:r>
      <w:r w:rsidR="009968E9">
        <w:rPr>
          <w:sz w:val="22"/>
          <w:szCs w:val="22"/>
        </w:rPr>
        <w:t xml:space="preserve">for 2020/21 </w:t>
      </w:r>
      <w:r w:rsidR="00C42B9F">
        <w:rPr>
          <w:sz w:val="22"/>
          <w:szCs w:val="22"/>
        </w:rPr>
        <w:t>and how and where they are applied.</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.4</w:t>
      </w:r>
      <w:r w:rsidR="00C42B9F">
        <w:rPr>
          <w:sz w:val="22"/>
          <w:szCs w:val="22"/>
        </w:rPr>
        <w:t xml:space="preserve"> These factors are in summary</w:t>
      </w:r>
      <w:r w:rsidR="00FF0C91">
        <w:rPr>
          <w:sz w:val="22"/>
          <w:szCs w:val="22"/>
        </w:rPr>
        <w:t>, for</w:t>
      </w:r>
      <w:r w:rsidR="00C42B9F">
        <w:rPr>
          <w:sz w:val="22"/>
          <w:szCs w:val="22"/>
        </w:rPr>
        <w:t>:</w:t>
      </w:r>
    </w:p>
    <w:p w:rsidR="00C42B9F" w:rsidRDefault="00C42B9F" w:rsidP="00C6158B">
      <w:pPr>
        <w:jc w:val="both"/>
        <w:rPr>
          <w:sz w:val="22"/>
          <w:szCs w:val="22"/>
        </w:rPr>
      </w:pPr>
    </w:p>
    <w:p w:rsidR="00C42B9F" w:rsidRDefault="00ED5103" w:rsidP="00C15620">
      <w:pPr>
        <w:pStyle w:val="ListParagraph"/>
        <w:numPr>
          <w:ilvl w:val="0"/>
          <w:numId w:val="6"/>
        </w:numPr>
        <w:jc w:val="both"/>
        <w:rPr>
          <w:sz w:val="22"/>
          <w:szCs w:val="22"/>
        </w:rPr>
      </w:pPr>
      <w:r>
        <w:rPr>
          <w:sz w:val="22"/>
          <w:szCs w:val="22"/>
        </w:rPr>
        <w:t>Maintained Special schools and S</w:t>
      </w:r>
      <w:r w:rsidR="00DE780F">
        <w:rPr>
          <w:sz w:val="22"/>
          <w:szCs w:val="22"/>
        </w:rPr>
        <w:t>pecial</w:t>
      </w:r>
      <w:r>
        <w:rPr>
          <w:sz w:val="22"/>
          <w:szCs w:val="22"/>
        </w:rPr>
        <w:t xml:space="preserve"> school</w:t>
      </w:r>
      <w:r w:rsidR="00DE780F">
        <w:rPr>
          <w:sz w:val="22"/>
          <w:szCs w:val="22"/>
        </w:rPr>
        <w:t xml:space="preserve"> academies:</w:t>
      </w:r>
      <w:r w:rsidR="009E6D2E">
        <w:rPr>
          <w:sz w:val="22"/>
          <w:szCs w:val="22"/>
        </w:rPr>
        <w:t xml:space="preserve"> split sites; post 16 element 1 enhancement; new services delegation; small setting protection; 3% cash budget protection.</w:t>
      </w:r>
    </w:p>
    <w:p w:rsidR="00DE780F" w:rsidRDefault="00DE780F" w:rsidP="00DE780F">
      <w:pPr>
        <w:pStyle w:val="ListParagraph"/>
        <w:jc w:val="both"/>
        <w:rPr>
          <w:sz w:val="22"/>
          <w:szCs w:val="22"/>
        </w:rPr>
      </w:pPr>
    </w:p>
    <w:p w:rsidR="001B1A21" w:rsidRDefault="001B1A21" w:rsidP="00C15620">
      <w:pPr>
        <w:pStyle w:val="ListParagraph"/>
        <w:numPr>
          <w:ilvl w:val="0"/>
          <w:numId w:val="6"/>
        </w:numPr>
        <w:jc w:val="both"/>
        <w:rPr>
          <w:sz w:val="22"/>
          <w:szCs w:val="22"/>
        </w:rPr>
      </w:pPr>
      <w:r>
        <w:rPr>
          <w:sz w:val="22"/>
          <w:szCs w:val="22"/>
        </w:rPr>
        <w:t>School-Led</w:t>
      </w:r>
      <w:r w:rsidR="00ED5103">
        <w:rPr>
          <w:sz w:val="22"/>
          <w:szCs w:val="22"/>
        </w:rPr>
        <w:t xml:space="preserve"> Resourced Provisions</w:t>
      </w:r>
      <w:r w:rsidR="00DE780F">
        <w:rPr>
          <w:sz w:val="22"/>
          <w:szCs w:val="22"/>
        </w:rPr>
        <w:t xml:space="preserve"> attached to mainstream primary and secondary schools and academies:</w:t>
      </w:r>
      <w:r w:rsidR="009E6D2E">
        <w:rPr>
          <w:sz w:val="22"/>
          <w:szCs w:val="22"/>
        </w:rPr>
        <w:t xml:space="preserve"> small setting prote</w:t>
      </w:r>
      <w:r>
        <w:rPr>
          <w:sz w:val="22"/>
          <w:szCs w:val="22"/>
        </w:rPr>
        <w:t xml:space="preserve">ction; </w:t>
      </w:r>
      <w:r w:rsidR="00604B1D">
        <w:rPr>
          <w:sz w:val="22"/>
          <w:szCs w:val="22"/>
        </w:rPr>
        <w:t>3% cash budget protection.</w:t>
      </w:r>
    </w:p>
    <w:p w:rsidR="00ED5103" w:rsidRDefault="00ED5103" w:rsidP="00ED5103">
      <w:pPr>
        <w:pStyle w:val="ListParagraph"/>
        <w:jc w:val="both"/>
        <w:rPr>
          <w:sz w:val="22"/>
          <w:szCs w:val="22"/>
        </w:rPr>
      </w:pPr>
    </w:p>
    <w:p w:rsidR="00ED5103" w:rsidRDefault="00ED5103" w:rsidP="00C15620">
      <w:pPr>
        <w:pStyle w:val="ListParagraph"/>
        <w:numPr>
          <w:ilvl w:val="0"/>
          <w:numId w:val="6"/>
        </w:numPr>
        <w:jc w:val="both"/>
        <w:rPr>
          <w:sz w:val="22"/>
          <w:szCs w:val="22"/>
        </w:rPr>
      </w:pPr>
      <w:r>
        <w:rPr>
          <w:sz w:val="22"/>
          <w:szCs w:val="22"/>
        </w:rPr>
        <w:t>Early Years Enhanced Specialist Provisions attached to maintained nursery schools: small setting protection.</w:t>
      </w:r>
    </w:p>
    <w:p w:rsidR="00ED5103" w:rsidRPr="001B1A21" w:rsidRDefault="00ED5103" w:rsidP="00ED5103">
      <w:pPr>
        <w:pStyle w:val="ListParagraph"/>
        <w:jc w:val="both"/>
        <w:rPr>
          <w:sz w:val="22"/>
          <w:szCs w:val="22"/>
        </w:rPr>
      </w:pPr>
    </w:p>
    <w:p w:rsidR="001649E6" w:rsidRDefault="00D14C6F" w:rsidP="001B1A21">
      <w:pPr>
        <w:jc w:val="both"/>
        <w:rPr>
          <w:sz w:val="22"/>
          <w:szCs w:val="22"/>
        </w:rPr>
      </w:pPr>
      <w:r>
        <w:rPr>
          <w:sz w:val="22"/>
          <w:szCs w:val="22"/>
        </w:rPr>
        <w:t>7.5 As set out in Appendix 4, for 2020/21 we propose the following changes, to:</w:t>
      </w:r>
    </w:p>
    <w:p w:rsidR="00D14C6F" w:rsidRPr="001B1A21" w:rsidRDefault="00D14C6F" w:rsidP="001B1A21">
      <w:pPr>
        <w:jc w:val="both"/>
        <w:rPr>
          <w:sz w:val="22"/>
          <w:szCs w:val="22"/>
        </w:rPr>
      </w:pPr>
    </w:p>
    <w:p w:rsidR="00D14C6F" w:rsidRDefault="00D14C6F" w:rsidP="00C15620">
      <w:pPr>
        <w:pStyle w:val="ListParagraph"/>
        <w:numPr>
          <w:ilvl w:val="0"/>
          <w:numId w:val="13"/>
        </w:numPr>
        <w:jc w:val="both"/>
        <w:rPr>
          <w:sz w:val="22"/>
          <w:szCs w:val="22"/>
        </w:rPr>
      </w:pPr>
      <w:r w:rsidRPr="00D14C6F">
        <w:rPr>
          <w:sz w:val="22"/>
          <w:szCs w:val="22"/>
        </w:rPr>
        <w:t xml:space="preserve">Enhance the value of split site funding for special schools. </w:t>
      </w:r>
      <w:r w:rsidR="00382C79">
        <w:rPr>
          <w:sz w:val="22"/>
          <w:szCs w:val="22"/>
        </w:rPr>
        <w:t>The full year value of the</w:t>
      </w:r>
      <w:r w:rsidRPr="00D14C6F">
        <w:rPr>
          <w:sz w:val="22"/>
          <w:szCs w:val="22"/>
        </w:rPr>
        <w:t xml:space="preserve"> lump sum is proposed to be </w:t>
      </w:r>
      <w:r>
        <w:rPr>
          <w:sz w:val="22"/>
          <w:szCs w:val="22"/>
        </w:rPr>
        <w:t>uplifted</w:t>
      </w:r>
      <w:r w:rsidRPr="00D14C6F">
        <w:rPr>
          <w:sz w:val="22"/>
          <w:szCs w:val="22"/>
        </w:rPr>
        <w:t xml:space="preserve"> to £198,500 from the 2019/20 value of £162,850</w:t>
      </w:r>
      <w:r>
        <w:rPr>
          <w:sz w:val="22"/>
          <w:szCs w:val="22"/>
        </w:rPr>
        <w:t>.</w:t>
      </w:r>
    </w:p>
    <w:p w:rsidR="00D14C6F" w:rsidRDefault="00D14C6F" w:rsidP="00D14C6F">
      <w:pPr>
        <w:pStyle w:val="ListParagraph"/>
        <w:jc w:val="both"/>
        <w:rPr>
          <w:sz w:val="22"/>
          <w:szCs w:val="22"/>
        </w:rPr>
      </w:pPr>
    </w:p>
    <w:p w:rsidR="00D14C6F" w:rsidRDefault="00D14C6F" w:rsidP="00C15620">
      <w:pPr>
        <w:pStyle w:val="ListParagraph"/>
        <w:numPr>
          <w:ilvl w:val="0"/>
          <w:numId w:val="13"/>
        </w:numPr>
        <w:jc w:val="both"/>
        <w:rPr>
          <w:sz w:val="22"/>
          <w:szCs w:val="22"/>
        </w:rPr>
      </w:pPr>
      <w:r>
        <w:rPr>
          <w:sz w:val="22"/>
          <w:szCs w:val="22"/>
        </w:rPr>
        <w:t>Uplift the value of the New Services Delegation factor for special schools by 8.2% from £364 to £393.85</w:t>
      </w:r>
      <w:r w:rsidR="00EB4729">
        <w:rPr>
          <w:sz w:val="22"/>
          <w:szCs w:val="22"/>
        </w:rPr>
        <w:t xml:space="preserve"> per pupil, in line with the basic Banded Model increase.</w:t>
      </w:r>
    </w:p>
    <w:p w:rsidR="00EB4729" w:rsidRDefault="00EB4729" w:rsidP="00EB4729">
      <w:pPr>
        <w:pStyle w:val="ListParagraph"/>
        <w:jc w:val="both"/>
        <w:rPr>
          <w:sz w:val="22"/>
          <w:szCs w:val="22"/>
        </w:rPr>
      </w:pPr>
    </w:p>
    <w:p w:rsidR="00EB4729" w:rsidRPr="00EB4729" w:rsidRDefault="00EB4729" w:rsidP="00C15620">
      <w:pPr>
        <w:pStyle w:val="ListParagraph"/>
        <w:numPr>
          <w:ilvl w:val="0"/>
          <w:numId w:val="13"/>
        </w:numPr>
        <w:jc w:val="both"/>
        <w:rPr>
          <w:sz w:val="22"/>
          <w:szCs w:val="22"/>
        </w:rPr>
      </w:pPr>
      <w:r>
        <w:rPr>
          <w:sz w:val="22"/>
          <w:szCs w:val="22"/>
        </w:rPr>
        <w:t xml:space="preserve">Uplift the value of the Post 16 Element 1 </w:t>
      </w:r>
      <w:r w:rsidR="009968E9">
        <w:rPr>
          <w:sz w:val="22"/>
          <w:szCs w:val="22"/>
        </w:rPr>
        <w:t xml:space="preserve">Enhancement </w:t>
      </w:r>
      <w:r>
        <w:rPr>
          <w:sz w:val="22"/>
          <w:szCs w:val="22"/>
        </w:rPr>
        <w:t>factor for special schoo</w:t>
      </w:r>
      <w:r w:rsidR="00382C79">
        <w:rPr>
          <w:sz w:val="22"/>
          <w:szCs w:val="22"/>
        </w:rPr>
        <w:t>ls</w:t>
      </w:r>
      <w:r>
        <w:rPr>
          <w:sz w:val="22"/>
          <w:szCs w:val="22"/>
        </w:rPr>
        <w:t xml:space="preserve"> from £1,100 to £1,200 to keep in line with the national Element 1 figure for post 16 provision (which increases from £5,100 to £5,200 in 2020/21)</w:t>
      </w:r>
      <w:r w:rsidR="00382C79">
        <w:rPr>
          <w:sz w:val="22"/>
          <w:szCs w:val="22"/>
        </w:rPr>
        <w:t>.</w:t>
      </w:r>
      <w:r>
        <w:rPr>
          <w:sz w:val="22"/>
          <w:szCs w:val="22"/>
        </w:rPr>
        <w:t xml:space="preserve"> </w:t>
      </w:r>
    </w:p>
    <w:p w:rsidR="00D14C6F" w:rsidRPr="00D14C6F" w:rsidRDefault="00D14C6F" w:rsidP="00D14C6F">
      <w:pPr>
        <w:pStyle w:val="ListParagraph"/>
        <w:jc w:val="both"/>
        <w:rPr>
          <w:sz w:val="22"/>
          <w:szCs w:val="22"/>
        </w:rPr>
      </w:pPr>
    </w:p>
    <w:p w:rsidR="00E724B2" w:rsidRDefault="00E724B2" w:rsidP="00C15620">
      <w:pPr>
        <w:pStyle w:val="ListParagraph"/>
        <w:numPr>
          <w:ilvl w:val="0"/>
          <w:numId w:val="11"/>
        </w:numPr>
        <w:jc w:val="both"/>
        <w:rPr>
          <w:sz w:val="22"/>
          <w:szCs w:val="22"/>
        </w:rPr>
      </w:pPr>
      <w:r>
        <w:rPr>
          <w:sz w:val="22"/>
          <w:szCs w:val="22"/>
        </w:rPr>
        <w:t>Add the small setting protection factor applied to the School-Led Resourced Provisions to the funding model of the Early Years Enhanced Specialist Provisions.</w:t>
      </w:r>
    </w:p>
    <w:p w:rsidR="00E724B2" w:rsidRDefault="00E724B2" w:rsidP="00E724B2">
      <w:pPr>
        <w:pStyle w:val="ListParagraph"/>
        <w:jc w:val="both"/>
        <w:rPr>
          <w:sz w:val="22"/>
          <w:szCs w:val="22"/>
        </w:rPr>
      </w:pPr>
    </w:p>
    <w:p w:rsidR="00D14C6F" w:rsidRDefault="009968E9" w:rsidP="00C15620">
      <w:pPr>
        <w:pStyle w:val="ListParagraph"/>
        <w:numPr>
          <w:ilvl w:val="0"/>
          <w:numId w:val="11"/>
        </w:numPr>
        <w:jc w:val="both"/>
        <w:rPr>
          <w:sz w:val="22"/>
          <w:szCs w:val="22"/>
        </w:rPr>
      </w:pPr>
      <w:r>
        <w:rPr>
          <w:sz w:val="22"/>
          <w:szCs w:val="22"/>
        </w:rPr>
        <w:t>Remove all Setting-Led Need</w:t>
      </w:r>
      <w:r w:rsidR="00293077">
        <w:rPr>
          <w:sz w:val="22"/>
          <w:szCs w:val="22"/>
        </w:rPr>
        <w:t xml:space="preserve"> factors within the PRU</w:t>
      </w:r>
      <w:r w:rsidR="00EB4729">
        <w:rPr>
          <w:sz w:val="22"/>
          <w:szCs w:val="22"/>
        </w:rPr>
        <w:t xml:space="preserve"> model with the funding that was previously allocated by these factors now incorporated into the proposed new Day Rate approach (please see paragraph 8).</w:t>
      </w:r>
    </w:p>
    <w:p w:rsidR="00D14C6F" w:rsidRDefault="00D14C6F" w:rsidP="008237ED">
      <w:pPr>
        <w:jc w:val="both"/>
        <w:rPr>
          <w:sz w:val="22"/>
          <w:szCs w:val="22"/>
        </w:rPr>
      </w:pPr>
    </w:p>
    <w:p w:rsidR="008237ED" w:rsidRDefault="001B1A21" w:rsidP="008237ED">
      <w:pPr>
        <w:jc w:val="both"/>
        <w:rPr>
          <w:sz w:val="22"/>
          <w:szCs w:val="22"/>
        </w:rPr>
      </w:pPr>
      <w:r>
        <w:rPr>
          <w:sz w:val="22"/>
          <w:szCs w:val="22"/>
        </w:rPr>
        <w:t>7.6</w:t>
      </w:r>
      <w:r w:rsidR="008237ED">
        <w:rPr>
          <w:sz w:val="22"/>
          <w:szCs w:val="22"/>
        </w:rPr>
        <w:t xml:space="preserve"> Setting-Led Need top-up is calculated alongside Pupil-Led Need top-up on a monthly basis following the same timetable set out in paragraph</w:t>
      </w:r>
      <w:r>
        <w:rPr>
          <w:sz w:val="22"/>
          <w:szCs w:val="22"/>
        </w:rPr>
        <w:t xml:space="preserve"> 6</w:t>
      </w:r>
      <w:r w:rsidR="009968E9">
        <w:rPr>
          <w:sz w:val="22"/>
          <w:szCs w:val="22"/>
        </w:rPr>
        <w:t>.9</w:t>
      </w:r>
      <w:r w:rsidR="008237ED">
        <w:rPr>
          <w:sz w:val="22"/>
          <w:szCs w:val="22"/>
        </w:rPr>
        <w:t>.</w:t>
      </w:r>
    </w:p>
    <w:p w:rsidR="008237ED" w:rsidRDefault="008237ED" w:rsidP="008237ED">
      <w:pPr>
        <w:jc w:val="both"/>
        <w:rPr>
          <w:sz w:val="22"/>
          <w:szCs w:val="22"/>
        </w:rPr>
      </w:pPr>
    </w:p>
    <w:p w:rsidR="00414949" w:rsidRDefault="00380B51" w:rsidP="00414949">
      <w:pPr>
        <w:jc w:val="both"/>
        <w:rPr>
          <w:b/>
          <w:color w:val="548DD4" w:themeColor="text2" w:themeTint="99"/>
          <w:sz w:val="22"/>
          <w:szCs w:val="22"/>
        </w:rPr>
      </w:pPr>
      <w:r>
        <w:rPr>
          <w:b/>
          <w:color w:val="548DD4" w:themeColor="text2" w:themeTint="99"/>
          <w:sz w:val="22"/>
          <w:szCs w:val="22"/>
        </w:rPr>
        <w:t>Question 4 – Do you agree with the amendments to the setting-led need factors that are proposed in paragraph 7.5? If not, please can you explain why not.</w:t>
      </w:r>
    </w:p>
    <w:p w:rsidR="00380B51" w:rsidRDefault="00380B51" w:rsidP="00414949">
      <w:pPr>
        <w:jc w:val="both"/>
        <w:rPr>
          <w:b/>
          <w:color w:val="548DD4" w:themeColor="text2" w:themeTint="99"/>
          <w:sz w:val="22"/>
          <w:szCs w:val="22"/>
        </w:rPr>
      </w:pPr>
    </w:p>
    <w:p w:rsidR="00380B51" w:rsidRDefault="00380B51" w:rsidP="00380B51">
      <w:pPr>
        <w:jc w:val="both"/>
        <w:rPr>
          <w:b/>
          <w:color w:val="548DD4" w:themeColor="text2" w:themeTint="99"/>
          <w:sz w:val="22"/>
          <w:szCs w:val="22"/>
        </w:rPr>
      </w:pPr>
      <w:r>
        <w:rPr>
          <w:b/>
          <w:color w:val="548DD4" w:themeColor="text2" w:themeTint="99"/>
          <w:sz w:val="22"/>
          <w:szCs w:val="22"/>
        </w:rPr>
        <w:t xml:space="preserve">Question 5 – Do you have any comments (including technical comments) on the setting-led need factors you would like the Authority to consider? </w:t>
      </w:r>
    </w:p>
    <w:p w:rsidR="001B1A21" w:rsidRDefault="001B1A21" w:rsidP="00E724B2">
      <w:pPr>
        <w:jc w:val="both"/>
        <w:rPr>
          <w:sz w:val="22"/>
          <w:szCs w:val="22"/>
        </w:rPr>
      </w:pPr>
    </w:p>
    <w:p w:rsidR="00E724B2" w:rsidRDefault="00E724B2" w:rsidP="00DE780F">
      <w:pPr>
        <w:ind w:left="360"/>
        <w:jc w:val="both"/>
        <w:rPr>
          <w:sz w:val="22"/>
          <w:szCs w:val="22"/>
        </w:rPr>
      </w:pPr>
    </w:p>
    <w:p w:rsidR="009968E9" w:rsidRPr="001B1A21" w:rsidRDefault="009968E9" w:rsidP="009968E9">
      <w:pPr>
        <w:jc w:val="both"/>
        <w:rPr>
          <w:sz w:val="22"/>
          <w:szCs w:val="22"/>
        </w:rPr>
      </w:pPr>
      <w:r>
        <w:rPr>
          <w:b/>
          <w:sz w:val="22"/>
          <w:szCs w:val="22"/>
        </w:rPr>
        <w:t>8</w:t>
      </w:r>
      <w:r w:rsidRPr="001B1A21">
        <w:rPr>
          <w:b/>
          <w:sz w:val="22"/>
          <w:szCs w:val="22"/>
        </w:rPr>
        <w:t>.</w:t>
      </w:r>
      <w:r w:rsidRPr="001B1A21">
        <w:rPr>
          <w:b/>
          <w:sz w:val="22"/>
          <w:szCs w:val="22"/>
        </w:rPr>
        <w:tab/>
      </w:r>
      <w:r>
        <w:rPr>
          <w:b/>
          <w:sz w:val="22"/>
          <w:szCs w:val="22"/>
        </w:rPr>
        <w:t xml:space="preserve">PRUs – Day Rate </w:t>
      </w:r>
      <w:r w:rsidR="00C64DE9">
        <w:rPr>
          <w:b/>
          <w:sz w:val="22"/>
          <w:szCs w:val="22"/>
        </w:rPr>
        <w:t xml:space="preserve">Top Up </w:t>
      </w:r>
      <w:r>
        <w:rPr>
          <w:b/>
          <w:sz w:val="22"/>
          <w:szCs w:val="22"/>
        </w:rPr>
        <w:t>Funding Model</w:t>
      </w:r>
    </w:p>
    <w:p w:rsidR="004B4608" w:rsidRDefault="004B4608" w:rsidP="00897157">
      <w:pPr>
        <w:jc w:val="both"/>
        <w:rPr>
          <w:b/>
          <w:color w:val="FF0000"/>
          <w:sz w:val="22"/>
          <w:szCs w:val="22"/>
        </w:rPr>
      </w:pPr>
    </w:p>
    <w:p w:rsidR="00C64DE9" w:rsidRDefault="00C64DE9" w:rsidP="00897157">
      <w:pPr>
        <w:jc w:val="both"/>
        <w:rPr>
          <w:sz w:val="22"/>
          <w:szCs w:val="22"/>
        </w:rPr>
      </w:pPr>
      <w:r>
        <w:rPr>
          <w:sz w:val="22"/>
          <w:szCs w:val="22"/>
        </w:rPr>
        <w:t>8.1 This section sets o</w:t>
      </w:r>
      <w:r w:rsidR="006D4BE3">
        <w:rPr>
          <w:sz w:val="22"/>
          <w:szCs w:val="22"/>
        </w:rPr>
        <w:t>ut the basis proposed</w:t>
      </w:r>
      <w:r>
        <w:rPr>
          <w:sz w:val="22"/>
          <w:szCs w:val="22"/>
        </w:rPr>
        <w:t xml:space="preserve"> for the Authority’s calculation</w:t>
      </w:r>
      <w:r w:rsidR="00AA5E9B">
        <w:rPr>
          <w:sz w:val="22"/>
          <w:szCs w:val="22"/>
        </w:rPr>
        <w:t xml:space="preserve"> of top up funding to</w:t>
      </w:r>
      <w:r>
        <w:rPr>
          <w:sz w:val="22"/>
          <w:szCs w:val="22"/>
        </w:rPr>
        <w:t xml:space="preserve"> </w:t>
      </w:r>
      <w:r w:rsidR="00AA5E9B">
        <w:rPr>
          <w:sz w:val="22"/>
          <w:szCs w:val="22"/>
        </w:rPr>
        <w:t>support</w:t>
      </w:r>
      <w:r>
        <w:rPr>
          <w:sz w:val="22"/>
          <w:szCs w:val="22"/>
        </w:rPr>
        <w:t xml:space="preserve"> the cost of provision for pupils permanently excluded, in Park PRU and Bradford Alternative Provision Academy Central</w:t>
      </w:r>
      <w:r w:rsidR="0020278C">
        <w:rPr>
          <w:sz w:val="22"/>
          <w:szCs w:val="22"/>
        </w:rPr>
        <w:t xml:space="preserve"> (BAPAC)</w:t>
      </w:r>
      <w:r>
        <w:rPr>
          <w:sz w:val="22"/>
          <w:szCs w:val="22"/>
        </w:rPr>
        <w:t>, where the Authority plans to commission</w:t>
      </w:r>
      <w:r w:rsidR="00AA5E9B">
        <w:rPr>
          <w:sz w:val="22"/>
          <w:szCs w:val="22"/>
        </w:rPr>
        <w:t xml:space="preserve"> 100</w:t>
      </w:r>
      <w:r>
        <w:rPr>
          <w:sz w:val="22"/>
          <w:szCs w:val="22"/>
        </w:rPr>
        <w:t xml:space="preserve"> places</w:t>
      </w:r>
      <w:r w:rsidR="00AA5E9B">
        <w:rPr>
          <w:sz w:val="22"/>
          <w:szCs w:val="22"/>
        </w:rPr>
        <w:t xml:space="preserve"> in total</w:t>
      </w:r>
      <w:r w:rsidR="006D4BE3">
        <w:rPr>
          <w:sz w:val="22"/>
          <w:szCs w:val="22"/>
        </w:rPr>
        <w:t xml:space="preserve"> in 2020/21</w:t>
      </w:r>
      <w:r>
        <w:rPr>
          <w:sz w:val="22"/>
          <w:szCs w:val="22"/>
        </w:rPr>
        <w:t xml:space="preserve">. The methodology </w:t>
      </w:r>
      <w:r w:rsidR="006D4BE3">
        <w:rPr>
          <w:sz w:val="22"/>
          <w:szCs w:val="22"/>
        </w:rPr>
        <w:t>and principles set out here will</w:t>
      </w:r>
      <w:r>
        <w:rPr>
          <w:sz w:val="22"/>
          <w:szCs w:val="22"/>
        </w:rPr>
        <w:t xml:space="preserve"> </w:t>
      </w:r>
      <w:r w:rsidR="00AA5E9B">
        <w:rPr>
          <w:sz w:val="22"/>
          <w:szCs w:val="22"/>
        </w:rPr>
        <w:t xml:space="preserve">also </w:t>
      </w:r>
      <w:r>
        <w:rPr>
          <w:sz w:val="22"/>
          <w:szCs w:val="22"/>
        </w:rPr>
        <w:t>extend to the Authority’s funding</w:t>
      </w:r>
      <w:r w:rsidR="00DB1ECF">
        <w:rPr>
          <w:sz w:val="22"/>
          <w:szCs w:val="22"/>
        </w:rPr>
        <w:t xml:space="preserve"> of top up for </w:t>
      </w:r>
      <w:r>
        <w:rPr>
          <w:sz w:val="22"/>
          <w:szCs w:val="22"/>
        </w:rPr>
        <w:t>pu</w:t>
      </w:r>
      <w:r w:rsidR="0020278C">
        <w:rPr>
          <w:sz w:val="22"/>
          <w:szCs w:val="22"/>
        </w:rPr>
        <w:t>pils permanently excluded</w:t>
      </w:r>
      <w:r w:rsidR="00AA5E9B">
        <w:rPr>
          <w:sz w:val="22"/>
          <w:szCs w:val="22"/>
        </w:rPr>
        <w:t xml:space="preserve"> that may be</w:t>
      </w:r>
      <w:r w:rsidR="006D4BE3">
        <w:rPr>
          <w:sz w:val="22"/>
          <w:szCs w:val="22"/>
        </w:rPr>
        <w:t xml:space="preserve"> placed</w:t>
      </w:r>
      <w:r w:rsidR="0020278C">
        <w:rPr>
          <w:sz w:val="22"/>
          <w:szCs w:val="22"/>
        </w:rPr>
        <w:t xml:space="preserve"> in</w:t>
      </w:r>
      <w:r>
        <w:rPr>
          <w:sz w:val="22"/>
          <w:szCs w:val="22"/>
        </w:rPr>
        <w:t xml:space="preserve"> other provision</w:t>
      </w:r>
      <w:r w:rsidR="00AA5E9B">
        <w:rPr>
          <w:sz w:val="22"/>
          <w:szCs w:val="22"/>
        </w:rPr>
        <w:t>s</w:t>
      </w:r>
      <w:r>
        <w:rPr>
          <w:sz w:val="22"/>
          <w:szCs w:val="22"/>
        </w:rPr>
        <w:t>.</w:t>
      </w:r>
    </w:p>
    <w:p w:rsidR="00C64DE9" w:rsidRDefault="00C64DE9" w:rsidP="00897157">
      <w:pPr>
        <w:jc w:val="both"/>
        <w:rPr>
          <w:sz w:val="22"/>
          <w:szCs w:val="22"/>
        </w:rPr>
      </w:pPr>
    </w:p>
    <w:p w:rsidR="00C64DE9" w:rsidRDefault="0020278C" w:rsidP="00897157">
      <w:pPr>
        <w:jc w:val="both"/>
        <w:rPr>
          <w:sz w:val="22"/>
          <w:szCs w:val="22"/>
        </w:rPr>
      </w:pPr>
      <w:r>
        <w:rPr>
          <w:sz w:val="22"/>
          <w:szCs w:val="22"/>
        </w:rPr>
        <w:t xml:space="preserve">8.2 Park PRU and BAPAC </w:t>
      </w:r>
      <w:r w:rsidR="006D4BE3">
        <w:rPr>
          <w:sz w:val="22"/>
          <w:szCs w:val="22"/>
        </w:rPr>
        <w:t xml:space="preserve">both </w:t>
      </w:r>
      <w:r>
        <w:rPr>
          <w:sz w:val="22"/>
          <w:szCs w:val="22"/>
        </w:rPr>
        <w:t>receive place funding from the High Needs Block, at £10,000 a place, as explained in section 4.</w:t>
      </w:r>
      <w:r w:rsidR="004F6605">
        <w:rPr>
          <w:sz w:val="22"/>
          <w:szCs w:val="22"/>
        </w:rPr>
        <w:t xml:space="preserve"> </w:t>
      </w:r>
      <w:r w:rsidR="00DB1ECF">
        <w:rPr>
          <w:sz w:val="22"/>
          <w:szCs w:val="22"/>
        </w:rPr>
        <w:t>T</w:t>
      </w:r>
      <w:r w:rsidR="00B73AF0">
        <w:rPr>
          <w:sz w:val="22"/>
          <w:szCs w:val="22"/>
        </w:rPr>
        <w:t>hese PRUs</w:t>
      </w:r>
      <w:r>
        <w:rPr>
          <w:sz w:val="22"/>
          <w:szCs w:val="22"/>
        </w:rPr>
        <w:t xml:space="preserve"> </w:t>
      </w:r>
      <w:r w:rsidR="006D4BE3">
        <w:rPr>
          <w:sz w:val="22"/>
          <w:szCs w:val="22"/>
        </w:rPr>
        <w:t>also</w:t>
      </w:r>
      <w:r w:rsidR="00AA5E9B">
        <w:rPr>
          <w:sz w:val="22"/>
          <w:szCs w:val="22"/>
        </w:rPr>
        <w:t xml:space="preserve"> then</w:t>
      </w:r>
      <w:r w:rsidR="006D4BE3">
        <w:rPr>
          <w:sz w:val="22"/>
          <w:szCs w:val="22"/>
        </w:rPr>
        <w:t xml:space="preserve"> </w:t>
      </w:r>
      <w:r w:rsidR="00B73AF0">
        <w:rPr>
          <w:sz w:val="22"/>
          <w:szCs w:val="22"/>
        </w:rPr>
        <w:t>receive</w:t>
      </w:r>
      <w:r>
        <w:rPr>
          <w:sz w:val="22"/>
          <w:szCs w:val="22"/>
        </w:rPr>
        <w:t xml:space="preserve"> a value of top up funding for places</w:t>
      </w:r>
      <w:r w:rsidR="006D4BE3">
        <w:rPr>
          <w:sz w:val="22"/>
          <w:szCs w:val="22"/>
        </w:rPr>
        <w:t xml:space="preserve"> occupied through the placement of pupils permanently excluded</w:t>
      </w:r>
      <w:r w:rsidR="00B73AF0">
        <w:rPr>
          <w:sz w:val="22"/>
          <w:szCs w:val="22"/>
        </w:rPr>
        <w:t xml:space="preserve"> that has previously been</w:t>
      </w:r>
      <w:r>
        <w:rPr>
          <w:sz w:val="22"/>
          <w:szCs w:val="22"/>
        </w:rPr>
        <w:t xml:space="preserve"> calculated</w:t>
      </w:r>
      <w:r w:rsidR="00AA5E9B">
        <w:rPr>
          <w:sz w:val="22"/>
          <w:szCs w:val="22"/>
        </w:rPr>
        <w:t xml:space="preserve"> using</w:t>
      </w:r>
      <w:r>
        <w:rPr>
          <w:sz w:val="22"/>
          <w:szCs w:val="22"/>
        </w:rPr>
        <w:t xml:space="preserve"> a</w:t>
      </w:r>
      <w:r w:rsidR="00802D03">
        <w:rPr>
          <w:sz w:val="22"/>
          <w:szCs w:val="22"/>
        </w:rPr>
        <w:t xml:space="preserve"> long-standing agreed</w:t>
      </w:r>
      <w:r w:rsidR="00AA5E9B">
        <w:rPr>
          <w:sz w:val="22"/>
          <w:szCs w:val="22"/>
        </w:rPr>
        <w:t xml:space="preserve"> formula, </w:t>
      </w:r>
      <w:r w:rsidR="00DD1D4E">
        <w:rPr>
          <w:sz w:val="22"/>
          <w:szCs w:val="22"/>
        </w:rPr>
        <w:t>which takes</w:t>
      </w:r>
      <w:r w:rsidR="00911DF8">
        <w:rPr>
          <w:sz w:val="22"/>
          <w:szCs w:val="22"/>
        </w:rPr>
        <w:t xml:space="preserve"> </w:t>
      </w:r>
      <w:r>
        <w:rPr>
          <w:sz w:val="22"/>
          <w:szCs w:val="22"/>
        </w:rPr>
        <w:t xml:space="preserve">50% </w:t>
      </w:r>
      <w:r w:rsidR="00911DF8">
        <w:rPr>
          <w:sz w:val="22"/>
          <w:szCs w:val="22"/>
        </w:rPr>
        <w:t>of R</w:t>
      </w:r>
      <w:r>
        <w:rPr>
          <w:sz w:val="22"/>
          <w:szCs w:val="22"/>
        </w:rPr>
        <w:t xml:space="preserve">ange 4D and 50% </w:t>
      </w:r>
      <w:r w:rsidR="00911DF8">
        <w:rPr>
          <w:sz w:val="22"/>
          <w:szCs w:val="22"/>
        </w:rPr>
        <w:t xml:space="preserve">of Range 5 to produce </w:t>
      </w:r>
      <w:r>
        <w:rPr>
          <w:sz w:val="22"/>
          <w:szCs w:val="22"/>
        </w:rPr>
        <w:t>an a</w:t>
      </w:r>
      <w:r w:rsidR="00AA5E9B">
        <w:rPr>
          <w:sz w:val="22"/>
          <w:szCs w:val="22"/>
        </w:rPr>
        <w:t>nnual value of £8,800 per place</w:t>
      </w:r>
      <w:r>
        <w:rPr>
          <w:sz w:val="22"/>
          <w:szCs w:val="22"/>
        </w:rPr>
        <w:t>.</w:t>
      </w:r>
      <w:r w:rsidR="00802D03">
        <w:rPr>
          <w:sz w:val="22"/>
          <w:szCs w:val="22"/>
        </w:rPr>
        <w:t xml:space="preserve"> This formulaic basis follows the DfE’s expectation that, as top up funding for AP institutions is not usually related to an assessment of SEND, a standard predictable top up rate can be set, which reflects the overall budget needed by the institution.</w:t>
      </w:r>
      <w:r w:rsidR="00911DF8">
        <w:rPr>
          <w:sz w:val="22"/>
          <w:szCs w:val="22"/>
        </w:rPr>
        <w:t xml:space="preserve"> This budget </w:t>
      </w:r>
      <w:r w:rsidR="00AA5E9B">
        <w:rPr>
          <w:sz w:val="22"/>
          <w:szCs w:val="22"/>
        </w:rPr>
        <w:t xml:space="preserve">should </w:t>
      </w:r>
      <w:r w:rsidR="00DB1ECF">
        <w:rPr>
          <w:sz w:val="22"/>
          <w:szCs w:val="22"/>
        </w:rPr>
        <w:t xml:space="preserve">be </w:t>
      </w:r>
      <w:r w:rsidR="00911DF8">
        <w:rPr>
          <w:sz w:val="22"/>
          <w:szCs w:val="22"/>
        </w:rPr>
        <w:t>built up with the understanding that a level of capacity is needed to be retai</w:t>
      </w:r>
      <w:r w:rsidR="00AA5E9B">
        <w:rPr>
          <w:sz w:val="22"/>
          <w:szCs w:val="22"/>
        </w:rPr>
        <w:t>ned during the year</w:t>
      </w:r>
      <w:r w:rsidR="00DD1D4E">
        <w:rPr>
          <w:sz w:val="22"/>
          <w:szCs w:val="22"/>
        </w:rPr>
        <w:t xml:space="preserve">, </w:t>
      </w:r>
      <w:r w:rsidR="00AA5E9B">
        <w:rPr>
          <w:sz w:val="22"/>
          <w:szCs w:val="22"/>
        </w:rPr>
        <w:t>recognising that number</w:t>
      </w:r>
      <w:r w:rsidR="002B6183">
        <w:rPr>
          <w:sz w:val="22"/>
          <w:szCs w:val="22"/>
        </w:rPr>
        <w:t>s on</w:t>
      </w:r>
      <w:r w:rsidR="00AA5E9B">
        <w:rPr>
          <w:sz w:val="22"/>
          <w:szCs w:val="22"/>
        </w:rPr>
        <w:t xml:space="preserve"> roll in PRUs can fluctuate.</w:t>
      </w:r>
    </w:p>
    <w:p w:rsidR="008679F4" w:rsidRDefault="008679F4" w:rsidP="00897157">
      <w:pPr>
        <w:jc w:val="both"/>
        <w:rPr>
          <w:sz w:val="22"/>
          <w:szCs w:val="22"/>
        </w:rPr>
      </w:pPr>
    </w:p>
    <w:p w:rsidR="008679F4" w:rsidRDefault="008679F4" w:rsidP="00897157">
      <w:pPr>
        <w:jc w:val="both"/>
        <w:rPr>
          <w:sz w:val="22"/>
          <w:szCs w:val="22"/>
        </w:rPr>
      </w:pPr>
      <w:r>
        <w:rPr>
          <w:sz w:val="22"/>
          <w:szCs w:val="22"/>
        </w:rPr>
        <w:t>8.3 Our PRUs have also previously accessed additional setting-need led top up funding for small setting protection, business rates</w:t>
      </w:r>
      <w:r w:rsidR="00314EBB">
        <w:rPr>
          <w:sz w:val="22"/>
          <w:szCs w:val="22"/>
        </w:rPr>
        <w:t>, new services delegation</w:t>
      </w:r>
      <w:r>
        <w:rPr>
          <w:sz w:val="22"/>
          <w:szCs w:val="22"/>
        </w:rPr>
        <w:t xml:space="preserve"> and pupil mobility.</w:t>
      </w:r>
    </w:p>
    <w:p w:rsidR="0020278C" w:rsidRDefault="0020278C" w:rsidP="00897157">
      <w:pPr>
        <w:jc w:val="both"/>
        <w:rPr>
          <w:sz w:val="22"/>
          <w:szCs w:val="22"/>
        </w:rPr>
      </w:pPr>
    </w:p>
    <w:p w:rsidR="0020278C" w:rsidRDefault="007E4D68" w:rsidP="00897157">
      <w:pPr>
        <w:jc w:val="both"/>
        <w:rPr>
          <w:sz w:val="22"/>
          <w:szCs w:val="22"/>
        </w:rPr>
      </w:pPr>
      <w:r>
        <w:rPr>
          <w:sz w:val="22"/>
          <w:szCs w:val="22"/>
        </w:rPr>
        <w:t>8.4</w:t>
      </w:r>
      <w:r w:rsidR="0020278C">
        <w:rPr>
          <w:sz w:val="22"/>
          <w:szCs w:val="22"/>
        </w:rPr>
        <w:t xml:space="preserve"> </w:t>
      </w:r>
      <w:r w:rsidR="00DD1D4E">
        <w:rPr>
          <w:sz w:val="22"/>
          <w:szCs w:val="22"/>
        </w:rPr>
        <w:t>A</w:t>
      </w:r>
      <w:r w:rsidR="00793715">
        <w:rPr>
          <w:sz w:val="22"/>
          <w:szCs w:val="22"/>
        </w:rPr>
        <w:t xml:space="preserve"> number of local authorities</w:t>
      </w:r>
      <w:r w:rsidR="00DD1D4E">
        <w:rPr>
          <w:sz w:val="22"/>
          <w:szCs w:val="22"/>
        </w:rPr>
        <w:t xml:space="preserve"> operate what are known as</w:t>
      </w:r>
      <w:r w:rsidR="00AA5E9B">
        <w:rPr>
          <w:sz w:val="22"/>
          <w:szCs w:val="22"/>
        </w:rPr>
        <w:t xml:space="preserve"> ‘day rate’ mechanism</w:t>
      </w:r>
      <w:r w:rsidR="00DD1D4E">
        <w:rPr>
          <w:sz w:val="22"/>
          <w:szCs w:val="22"/>
        </w:rPr>
        <w:t>s</w:t>
      </w:r>
      <w:r w:rsidR="00AA5E9B">
        <w:rPr>
          <w:sz w:val="22"/>
          <w:szCs w:val="22"/>
        </w:rPr>
        <w:t xml:space="preserve"> for the calculation of top up funding for their PRUs.</w:t>
      </w:r>
      <w:r w:rsidR="00793715">
        <w:rPr>
          <w:sz w:val="22"/>
          <w:szCs w:val="22"/>
        </w:rPr>
        <w:t xml:space="preserve"> Via</w:t>
      </w:r>
      <w:r w:rsidR="00AA5E9B">
        <w:rPr>
          <w:sz w:val="22"/>
          <w:szCs w:val="22"/>
        </w:rPr>
        <w:t xml:space="preserve"> these mechanisms, top up funding is allocated on an agreed £value per day, multiplied by the number of days of provision</w:t>
      </w:r>
      <w:r w:rsidR="00793715">
        <w:rPr>
          <w:sz w:val="22"/>
          <w:szCs w:val="22"/>
        </w:rPr>
        <w:t xml:space="preserve"> expected to be</w:t>
      </w:r>
      <w:r w:rsidR="00AA5E9B">
        <w:rPr>
          <w:sz w:val="22"/>
          <w:szCs w:val="22"/>
        </w:rPr>
        <w:t xml:space="preserve"> delivered weekly / </w:t>
      </w:r>
      <w:r w:rsidR="004627F0">
        <w:rPr>
          <w:sz w:val="22"/>
          <w:szCs w:val="22"/>
        </w:rPr>
        <w:t xml:space="preserve">monthly / </w:t>
      </w:r>
      <w:r w:rsidR="00AA5E9B">
        <w:rPr>
          <w:sz w:val="22"/>
          <w:szCs w:val="22"/>
        </w:rPr>
        <w:t>termly / annually. The value of the day rate can adjust</w:t>
      </w:r>
      <w:r w:rsidR="00EE454C">
        <w:rPr>
          <w:sz w:val="22"/>
          <w:szCs w:val="22"/>
        </w:rPr>
        <w:t xml:space="preserve"> up and down</w:t>
      </w:r>
      <w:r w:rsidR="00AA5E9B">
        <w:rPr>
          <w:sz w:val="22"/>
          <w:szCs w:val="22"/>
        </w:rPr>
        <w:t xml:space="preserve"> according to</w:t>
      </w:r>
      <w:r w:rsidR="00793715">
        <w:rPr>
          <w:sz w:val="22"/>
          <w:szCs w:val="22"/>
        </w:rPr>
        <w:t xml:space="preserve"> the PRU’s</w:t>
      </w:r>
      <w:r w:rsidR="00AA5E9B">
        <w:rPr>
          <w:sz w:val="22"/>
          <w:szCs w:val="22"/>
        </w:rPr>
        <w:t xml:space="preserve"> overall occupancy to ensure that a minimum level of funding is allocated to enable the PRU</w:t>
      </w:r>
      <w:r w:rsidR="004627F0">
        <w:rPr>
          <w:sz w:val="22"/>
          <w:szCs w:val="22"/>
        </w:rPr>
        <w:t xml:space="preserve"> to meet fixed costs and</w:t>
      </w:r>
      <w:r w:rsidR="00AA5E9B">
        <w:rPr>
          <w:sz w:val="22"/>
          <w:szCs w:val="22"/>
        </w:rPr>
        <w:t xml:space="preserve"> to retain sufficient capacity for the Authority to use.</w:t>
      </w:r>
      <w:r w:rsidR="00793715">
        <w:rPr>
          <w:sz w:val="22"/>
          <w:szCs w:val="22"/>
        </w:rPr>
        <w:t xml:space="preserve"> </w:t>
      </w:r>
      <w:r w:rsidR="00DD1D4E">
        <w:rPr>
          <w:sz w:val="22"/>
          <w:szCs w:val="22"/>
        </w:rPr>
        <w:t>The model is</w:t>
      </w:r>
      <w:r w:rsidR="00793715">
        <w:rPr>
          <w:sz w:val="22"/>
          <w:szCs w:val="22"/>
        </w:rPr>
        <w:t xml:space="preserve"> informed via an a</w:t>
      </w:r>
      <w:r w:rsidR="00DD1D4E">
        <w:rPr>
          <w:sz w:val="22"/>
          <w:szCs w:val="22"/>
        </w:rPr>
        <w:t xml:space="preserve">nnual review, </w:t>
      </w:r>
      <w:r w:rsidR="00793715">
        <w:rPr>
          <w:sz w:val="22"/>
          <w:szCs w:val="22"/>
        </w:rPr>
        <w:t>w</w:t>
      </w:r>
      <w:r w:rsidR="00DD1D4E">
        <w:rPr>
          <w:sz w:val="22"/>
          <w:szCs w:val="22"/>
        </w:rPr>
        <w:t>hich includes checking</w:t>
      </w:r>
      <w:r w:rsidR="00793715">
        <w:rPr>
          <w:sz w:val="22"/>
          <w:szCs w:val="22"/>
        </w:rPr>
        <w:t xml:space="preserve"> actual </w:t>
      </w:r>
      <w:r w:rsidR="00DD1D4E">
        <w:rPr>
          <w:sz w:val="22"/>
          <w:szCs w:val="22"/>
        </w:rPr>
        <w:t>against expected occupancy. In situations</w:t>
      </w:r>
      <w:r w:rsidR="00793715">
        <w:rPr>
          <w:sz w:val="22"/>
          <w:szCs w:val="22"/>
        </w:rPr>
        <w:t xml:space="preserve"> where</w:t>
      </w:r>
      <w:r w:rsidR="00DD1D4E">
        <w:rPr>
          <w:sz w:val="22"/>
          <w:szCs w:val="22"/>
        </w:rPr>
        <w:t xml:space="preserve"> there are significant</w:t>
      </w:r>
      <w:r w:rsidR="00793715">
        <w:rPr>
          <w:sz w:val="22"/>
          <w:szCs w:val="22"/>
        </w:rPr>
        <w:t xml:space="preserve"> differences in occupancy</w:t>
      </w:r>
      <w:r w:rsidR="00DD1D4E">
        <w:rPr>
          <w:sz w:val="22"/>
          <w:szCs w:val="22"/>
        </w:rPr>
        <w:t xml:space="preserve">, which are more permanent, </w:t>
      </w:r>
      <w:r w:rsidR="00793715">
        <w:rPr>
          <w:sz w:val="22"/>
          <w:szCs w:val="22"/>
        </w:rPr>
        <w:t>the number of places t</w:t>
      </w:r>
      <w:r w:rsidR="00DD1D4E">
        <w:rPr>
          <w:sz w:val="22"/>
          <w:szCs w:val="22"/>
        </w:rPr>
        <w:t>o be commissioned by the Authority would be reviewed</w:t>
      </w:r>
      <w:r w:rsidR="00EE454C">
        <w:rPr>
          <w:sz w:val="22"/>
          <w:szCs w:val="22"/>
        </w:rPr>
        <w:t xml:space="preserve"> for the following</w:t>
      </w:r>
      <w:r w:rsidR="00DD1D4E">
        <w:rPr>
          <w:sz w:val="22"/>
          <w:szCs w:val="22"/>
        </w:rPr>
        <w:t xml:space="preserve"> year</w:t>
      </w:r>
      <w:r w:rsidR="00793715">
        <w:rPr>
          <w:sz w:val="22"/>
          <w:szCs w:val="22"/>
        </w:rPr>
        <w:t>.</w:t>
      </w:r>
    </w:p>
    <w:p w:rsidR="00793715" w:rsidRDefault="00793715" w:rsidP="00897157">
      <w:pPr>
        <w:jc w:val="both"/>
        <w:rPr>
          <w:sz w:val="22"/>
          <w:szCs w:val="22"/>
        </w:rPr>
      </w:pPr>
    </w:p>
    <w:p w:rsidR="00793715" w:rsidRDefault="007E4D68" w:rsidP="00897157">
      <w:pPr>
        <w:jc w:val="both"/>
        <w:rPr>
          <w:sz w:val="22"/>
          <w:szCs w:val="22"/>
        </w:rPr>
      </w:pPr>
      <w:r>
        <w:rPr>
          <w:sz w:val="22"/>
          <w:szCs w:val="22"/>
        </w:rPr>
        <w:t>8.5</w:t>
      </w:r>
      <w:r w:rsidR="00793715">
        <w:rPr>
          <w:sz w:val="22"/>
          <w:szCs w:val="22"/>
        </w:rPr>
        <w:t xml:space="preserve"> We propose to move to a day rate mechanism for the funding of our two PRUs from April 2020. This mechanism has already been piloted in the funding of BAPAC from September 2019. </w:t>
      </w:r>
      <w:r w:rsidR="00EE454C">
        <w:rPr>
          <w:sz w:val="22"/>
          <w:szCs w:val="22"/>
        </w:rPr>
        <w:t>It should be noted that t</w:t>
      </w:r>
      <w:r w:rsidR="00793715">
        <w:rPr>
          <w:sz w:val="22"/>
          <w:szCs w:val="22"/>
        </w:rPr>
        <w:t>he provision being delivered by Park PRU is currently in transition, moving from longer-term EHCP provision to permanent exclusion provision</w:t>
      </w:r>
      <w:r w:rsidR="00EE454C">
        <w:rPr>
          <w:sz w:val="22"/>
          <w:szCs w:val="22"/>
        </w:rPr>
        <w:t>,</w:t>
      </w:r>
      <w:r w:rsidR="00793715">
        <w:rPr>
          <w:sz w:val="22"/>
          <w:szCs w:val="22"/>
        </w:rPr>
        <w:t xml:space="preserve"> so there will be some transition in the funding mechanism between April and August 2020 (where EHCP pupils still o</w:t>
      </w:r>
      <w:r w:rsidR="00EE454C">
        <w:rPr>
          <w:sz w:val="22"/>
          <w:szCs w:val="22"/>
        </w:rPr>
        <w:t>n roll will be funded</w:t>
      </w:r>
      <w:r w:rsidR="00793715">
        <w:rPr>
          <w:sz w:val="22"/>
          <w:szCs w:val="22"/>
        </w:rPr>
        <w:t xml:space="preserve"> using the Banded Model and where there will be some </w:t>
      </w:r>
      <w:r w:rsidR="00EE454C">
        <w:rPr>
          <w:sz w:val="22"/>
          <w:szCs w:val="22"/>
        </w:rPr>
        <w:t>funding</w:t>
      </w:r>
      <w:r w:rsidR="00793715">
        <w:rPr>
          <w:sz w:val="22"/>
          <w:szCs w:val="22"/>
        </w:rPr>
        <w:t xml:space="preserve"> protection to enable the PRU to re-shape its provision). We anticipate that the new day rate mechanism will be in place in full </w:t>
      </w:r>
      <w:r w:rsidR="00EE454C">
        <w:rPr>
          <w:sz w:val="22"/>
          <w:szCs w:val="22"/>
        </w:rPr>
        <w:t xml:space="preserve">for both PRUs </w:t>
      </w:r>
      <w:r w:rsidR="00793715">
        <w:rPr>
          <w:sz w:val="22"/>
          <w:szCs w:val="22"/>
        </w:rPr>
        <w:t>from September 2020.</w:t>
      </w:r>
    </w:p>
    <w:p w:rsidR="009C2D7B" w:rsidRDefault="009C2D7B" w:rsidP="00897157">
      <w:pPr>
        <w:jc w:val="both"/>
        <w:rPr>
          <w:sz w:val="22"/>
          <w:szCs w:val="22"/>
        </w:rPr>
      </w:pPr>
    </w:p>
    <w:p w:rsidR="009C2D7B" w:rsidRDefault="007E4D68" w:rsidP="00897157">
      <w:pPr>
        <w:jc w:val="both"/>
        <w:rPr>
          <w:sz w:val="22"/>
          <w:szCs w:val="22"/>
        </w:rPr>
      </w:pPr>
      <w:r>
        <w:rPr>
          <w:sz w:val="22"/>
          <w:szCs w:val="22"/>
        </w:rPr>
        <w:t>8.6</w:t>
      </w:r>
      <w:r w:rsidR="009C2D7B">
        <w:rPr>
          <w:sz w:val="22"/>
          <w:szCs w:val="22"/>
        </w:rPr>
        <w:t xml:space="preserve"> Our proposed day rate model is constructed on 50 place provision.</w:t>
      </w:r>
    </w:p>
    <w:p w:rsidR="00EE454C" w:rsidRDefault="00EE454C" w:rsidP="00897157">
      <w:pPr>
        <w:jc w:val="both"/>
        <w:rPr>
          <w:sz w:val="22"/>
          <w:szCs w:val="22"/>
        </w:rPr>
      </w:pPr>
    </w:p>
    <w:p w:rsidR="007E4D68" w:rsidRDefault="009C2D7B" w:rsidP="00897157">
      <w:pPr>
        <w:jc w:val="both"/>
        <w:rPr>
          <w:sz w:val="22"/>
          <w:szCs w:val="22"/>
        </w:rPr>
      </w:pPr>
      <w:r>
        <w:rPr>
          <w:sz w:val="22"/>
          <w:szCs w:val="22"/>
        </w:rPr>
        <w:t>8.</w:t>
      </w:r>
      <w:r w:rsidR="007E4D68">
        <w:rPr>
          <w:sz w:val="22"/>
          <w:szCs w:val="22"/>
        </w:rPr>
        <w:t>7</w:t>
      </w:r>
      <w:r w:rsidR="00EE454C">
        <w:rPr>
          <w:sz w:val="22"/>
          <w:szCs w:val="22"/>
        </w:rPr>
        <w:t xml:space="preserve"> £8,800</w:t>
      </w:r>
      <w:r>
        <w:rPr>
          <w:sz w:val="22"/>
          <w:szCs w:val="22"/>
        </w:rPr>
        <w:t>, which is the</w:t>
      </w:r>
      <w:r w:rsidR="007E4D68">
        <w:rPr>
          <w:sz w:val="22"/>
          <w:szCs w:val="22"/>
        </w:rPr>
        <w:t xml:space="preserve"> annual</w:t>
      </w:r>
      <w:r>
        <w:rPr>
          <w:sz w:val="22"/>
          <w:szCs w:val="22"/>
        </w:rPr>
        <w:t xml:space="preserve"> value of pupil-need led top up we currently use,</w:t>
      </w:r>
      <w:r w:rsidR="00EE454C">
        <w:rPr>
          <w:sz w:val="22"/>
          <w:szCs w:val="22"/>
        </w:rPr>
        <w:t xml:space="preserve"> converted to a day rate is £</w:t>
      </w:r>
      <w:r w:rsidR="008679F4">
        <w:rPr>
          <w:sz w:val="22"/>
          <w:szCs w:val="22"/>
        </w:rPr>
        <w:t xml:space="preserve">45.13 (£8,800 divided by 195 </w:t>
      </w:r>
      <w:r w:rsidR="004627F0">
        <w:rPr>
          <w:sz w:val="22"/>
          <w:szCs w:val="22"/>
        </w:rPr>
        <w:t xml:space="preserve">school </w:t>
      </w:r>
      <w:r w:rsidR="008679F4">
        <w:rPr>
          <w:sz w:val="22"/>
          <w:szCs w:val="22"/>
        </w:rPr>
        <w:t>days a year).</w:t>
      </w:r>
      <w:r w:rsidR="00314EBB">
        <w:rPr>
          <w:sz w:val="22"/>
          <w:szCs w:val="22"/>
        </w:rPr>
        <w:t xml:space="preserve"> This does not include</w:t>
      </w:r>
      <w:r w:rsidR="008679F4">
        <w:rPr>
          <w:sz w:val="22"/>
          <w:szCs w:val="22"/>
        </w:rPr>
        <w:t xml:space="preserve"> the additional funding that is currently allocated via the setting-need led factors</w:t>
      </w:r>
      <w:r w:rsidR="00314EBB">
        <w:rPr>
          <w:sz w:val="22"/>
          <w:szCs w:val="22"/>
        </w:rPr>
        <w:t xml:space="preserve"> (small setting protection, business rates, new services delegation, pupil mobility)</w:t>
      </w:r>
      <w:r w:rsidR="008679F4">
        <w:rPr>
          <w:sz w:val="22"/>
          <w:szCs w:val="22"/>
        </w:rPr>
        <w:t xml:space="preserve">. We propose to set a </w:t>
      </w:r>
      <w:r>
        <w:rPr>
          <w:sz w:val="22"/>
          <w:szCs w:val="22"/>
        </w:rPr>
        <w:t xml:space="preserve">total </w:t>
      </w:r>
      <w:r w:rsidR="008679F4">
        <w:rPr>
          <w:sz w:val="22"/>
          <w:szCs w:val="22"/>
        </w:rPr>
        <w:t xml:space="preserve">day rate </w:t>
      </w:r>
      <w:r w:rsidR="007E4D68">
        <w:rPr>
          <w:sz w:val="22"/>
          <w:szCs w:val="22"/>
        </w:rPr>
        <w:t>of £62.27</w:t>
      </w:r>
      <w:r w:rsidR="008679F4">
        <w:rPr>
          <w:sz w:val="22"/>
          <w:szCs w:val="22"/>
        </w:rPr>
        <w:t>, which incorporates these</w:t>
      </w:r>
      <w:r w:rsidR="00314EBB">
        <w:rPr>
          <w:sz w:val="22"/>
          <w:szCs w:val="22"/>
        </w:rPr>
        <w:t xml:space="preserve"> existing</w:t>
      </w:r>
      <w:r w:rsidR="008679F4">
        <w:rPr>
          <w:sz w:val="22"/>
          <w:szCs w:val="22"/>
        </w:rPr>
        <w:t xml:space="preserve"> setting-need led factors</w:t>
      </w:r>
      <w:r w:rsidR="007E4D68">
        <w:rPr>
          <w:sz w:val="22"/>
          <w:szCs w:val="22"/>
        </w:rPr>
        <w:t xml:space="preserve"> as well as the main pupil-need led provision</w:t>
      </w:r>
      <w:r w:rsidR="008679F4">
        <w:rPr>
          <w:sz w:val="22"/>
          <w:szCs w:val="22"/>
        </w:rPr>
        <w:t>.</w:t>
      </w:r>
      <w:r w:rsidR="007E4D68">
        <w:rPr>
          <w:sz w:val="22"/>
          <w:szCs w:val="22"/>
        </w:rPr>
        <w:t xml:space="preserve"> £62.27</w:t>
      </w:r>
      <w:r>
        <w:rPr>
          <w:sz w:val="22"/>
          <w:szCs w:val="22"/>
        </w:rPr>
        <w:t xml:space="preserve"> is prior to a</w:t>
      </w:r>
      <w:r w:rsidR="007E4D68">
        <w:rPr>
          <w:sz w:val="22"/>
          <w:szCs w:val="22"/>
        </w:rPr>
        <w:t>ny uplift for inflation</w:t>
      </w:r>
      <w:r w:rsidR="004627F0">
        <w:rPr>
          <w:sz w:val="22"/>
          <w:szCs w:val="22"/>
        </w:rPr>
        <w:t xml:space="preserve"> at April 2020</w:t>
      </w:r>
      <w:r w:rsidR="007E4D68">
        <w:rPr>
          <w:sz w:val="22"/>
          <w:szCs w:val="22"/>
        </w:rPr>
        <w:t xml:space="preserve">, which is </w:t>
      </w:r>
      <w:r>
        <w:rPr>
          <w:sz w:val="22"/>
          <w:szCs w:val="22"/>
        </w:rPr>
        <w:t>to b</w:t>
      </w:r>
      <w:r w:rsidR="007E4D68">
        <w:rPr>
          <w:sz w:val="22"/>
          <w:szCs w:val="22"/>
        </w:rPr>
        <w:t>e agreed with the Schools Forum</w:t>
      </w:r>
      <w:r>
        <w:rPr>
          <w:sz w:val="22"/>
          <w:szCs w:val="22"/>
        </w:rPr>
        <w:t xml:space="preserve">. </w:t>
      </w:r>
    </w:p>
    <w:p w:rsidR="007E4D68" w:rsidRDefault="007E4D68" w:rsidP="00897157">
      <w:pPr>
        <w:jc w:val="both"/>
        <w:rPr>
          <w:sz w:val="22"/>
          <w:szCs w:val="22"/>
        </w:rPr>
      </w:pPr>
    </w:p>
    <w:p w:rsidR="00314EBB" w:rsidRDefault="009C2D7B" w:rsidP="00897157">
      <w:pPr>
        <w:jc w:val="both"/>
        <w:rPr>
          <w:sz w:val="22"/>
          <w:szCs w:val="22"/>
        </w:rPr>
      </w:pPr>
      <w:r>
        <w:rPr>
          <w:sz w:val="22"/>
          <w:szCs w:val="22"/>
        </w:rPr>
        <w:t>The £62.27</w:t>
      </w:r>
      <w:r w:rsidR="00314EBB">
        <w:rPr>
          <w:sz w:val="22"/>
          <w:szCs w:val="22"/>
        </w:rPr>
        <w:t xml:space="preserve"> is calculated as follows (rounded):</w:t>
      </w:r>
    </w:p>
    <w:p w:rsidR="00314EBB" w:rsidRDefault="00314EBB" w:rsidP="00897157">
      <w:pPr>
        <w:jc w:val="both"/>
        <w:rPr>
          <w:sz w:val="22"/>
          <w:szCs w:val="22"/>
        </w:rPr>
      </w:pPr>
    </w:p>
    <w:tbl>
      <w:tblPr>
        <w:tblStyle w:val="TableGrid"/>
        <w:tblW w:w="0" w:type="auto"/>
        <w:tblLook w:val="04A0" w:firstRow="1" w:lastRow="0" w:firstColumn="1" w:lastColumn="0" w:noHBand="0" w:noVBand="1"/>
      </w:tblPr>
      <w:tblGrid>
        <w:gridCol w:w="6629"/>
        <w:gridCol w:w="2126"/>
        <w:gridCol w:w="2119"/>
      </w:tblGrid>
      <w:tr w:rsidR="00314EBB" w:rsidTr="00314EBB">
        <w:tc>
          <w:tcPr>
            <w:tcW w:w="6629" w:type="dxa"/>
          </w:tcPr>
          <w:p w:rsidR="00314EBB" w:rsidRPr="00314EBB" w:rsidRDefault="00314EBB" w:rsidP="00314EBB">
            <w:pPr>
              <w:jc w:val="both"/>
              <w:rPr>
                <w:b/>
                <w:sz w:val="22"/>
                <w:szCs w:val="22"/>
              </w:rPr>
            </w:pPr>
            <w:r w:rsidRPr="00314EBB">
              <w:rPr>
                <w:b/>
                <w:sz w:val="22"/>
                <w:szCs w:val="22"/>
              </w:rPr>
              <w:t>Factor</w:t>
            </w:r>
          </w:p>
        </w:tc>
        <w:tc>
          <w:tcPr>
            <w:tcW w:w="2126" w:type="dxa"/>
          </w:tcPr>
          <w:p w:rsidR="00314EBB" w:rsidRPr="00314EBB" w:rsidRDefault="00314EBB" w:rsidP="00314EBB">
            <w:pPr>
              <w:jc w:val="right"/>
              <w:rPr>
                <w:b/>
                <w:sz w:val="22"/>
                <w:szCs w:val="22"/>
              </w:rPr>
            </w:pPr>
            <w:r w:rsidRPr="00314EBB">
              <w:rPr>
                <w:b/>
                <w:sz w:val="22"/>
                <w:szCs w:val="22"/>
              </w:rPr>
              <w:t>£Day Rate Value</w:t>
            </w:r>
          </w:p>
        </w:tc>
        <w:tc>
          <w:tcPr>
            <w:tcW w:w="2119" w:type="dxa"/>
          </w:tcPr>
          <w:p w:rsidR="00314EBB" w:rsidRPr="00314EBB" w:rsidRDefault="00314EBB" w:rsidP="00314EBB">
            <w:pPr>
              <w:jc w:val="right"/>
              <w:rPr>
                <w:b/>
                <w:sz w:val="22"/>
                <w:szCs w:val="22"/>
              </w:rPr>
            </w:pPr>
            <w:r w:rsidRPr="00314EBB">
              <w:rPr>
                <w:b/>
                <w:sz w:val="22"/>
                <w:szCs w:val="22"/>
              </w:rPr>
              <w:t>£Cash Budget 50 places 195 days</w:t>
            </w:r>
          </w:p>
        </w:tc>
      </w:tr>
      <w:tr w:rsidR="00314EBB" w:rsidTr="00314EBB">
        <w:tc>
          <w:tcPr>
            <w:tcW w:w="6629" w:type="dxa"/>
          </w:tcPr>
          <w:p w:rsidR="00314EBB" w:rsidRDefault="00314EBB" w:rsidP="00314EBB">
            <w:pPr>
              <w:jc w:val="both"/>
              <w:rPr>
                <w:sz w:val="22"/>
                <w:szCs w:val="22"/>
              </w:rPr>
            </w:pPr>
            <w:r>
              <w:rPr>
                <w:sz w:val="22"/>
                <w:szCs w:val="22"/>
              </w:rPr>
              <w:t xml:space="preserve">Main </w:t>
            </w:r>
            <w:r w:rsidR="007E4D68">
              <w:rPr>
                <w:sz w:val="22"/>
                <w:szCs w:val="22"/>
              </w:rPr>
              <w:t xml:space="preserve">pupil-need led </w:t>
            </w:r>
            <w:r>
              <w:rPr>
                <w:sz w:val="22"/>
                <w:szCs w:val="22"/>
              </w:rPr>
              <w:t>provision</w:t>
            </w:r>
          </w:p>
        </w:tc>
        <w:tc>
          <w:tcPr>
            <w:tcW w:w="2126" w:type="dxa"/>
          </w:tcPr>
          <w:p w:rsidR="00314EBB" w:rsidRDefault="00314EBB" w:rsidP="00314EBB">
            <w:pPr>
              <w:jc w:val="right"/>
              <w:rPr>
                <w:sz w:val="22"/>
                <w:szCs w:val="22"/>
              </w:rPr>
            </w:pPr>
            <w:r>
              <w:rPr>
                <w:sz w:val="22"/>
                <w:szCs w:val="22"/>
              </w:rPr>
              <w:t>£51.28</w:t>
            </w:r>
          </w:p>
        </w:tc>
        <w:tc>
          <w:tcPr>
            <w:tcW w:w="2119" w:type="dxa"/>
          </w:tcPr>
          <w:p w:rsidR="00314EBB" w:rsidRDefault="00314EBB" w:rsidP="00314EBB">
            <w:pPr>
              <w:jc w:val="right"/>
              <w:rPr>
                <w:sz w:val="22"/>
                <w:szCs w:val="22"/>
              </w:rPr>
            </w:pPr>
            <w:r>
              <w:rPr>
                <w:sz w:val="22"/>
                <w:szCs w:val="22"/>
              </w:rPr>
              <w:t>£500,000</w:t>
            </w:r>
          </w:p>
        </w:tc>
      </w:tr>
      <w:tr w:rsidR="00314EBB" w:rsidTr="00314EBB">
        <w:tc>
          <w:tcPr>
            <w:tcW w:w="6629" w:type="dxa"/>
          </w:tcPr>
          <w:p w:rsidR="00314EBB" w:rsidRDefault="00314EBB" w:rsidP="00314EBB">
            <w:pPr>
              <w:jc w:val="both"/>
              <w:rPr>
                <w:sz w:val="22"/>
                <w:szCs w:val="22"/>
              </w:rPr>
            </w:pPr>
            <w:r>
              <w:rPr>
                <w:sz w:val="22"/>
                <w:szCs w:val="22"/>
              </w:rPr>
              <w:t>Small Setting Protection</w:t>
            </w:r>
            <w:r w:rsidR="009C2D7B">
              <w:rPr>
                <w:sz w:val="22"/>
                <w:szCs w:val="22"/>
              </w:rPr>
              <w:t xml:space="preserve"> (as special schools)</w:t>
            </w:r>
          </w:p>
        </w:tc>
        <w:tc>
          <w:tcPr>
            <w:tcW w:w="2126" w:type="dxa"/>
          </w:tcPr>
          <w:p w:rsidR="00314EBB" w:rsidRDefault="00314EBB" w:rsidP="00314EBB">
            <w:pPr>
              <w:jc w:val="right"/>
              <w:rPr>
                <w:sz w:val="22"/>
                <w:szCs w:val="22"/>
              </w:rPr>
            </w:pPr>
            <w:r>
              <w:rPr>
                <w:sz w:val="22"/>
                <w:szCs w:val="22"/>
              </w:rPr>
              <w:t>£5.13</w:t>
            </w:r>
          </w:p>
        </w:tc>
        <w:tc>
          <w:tcPr>
            <w:tcW w:w="2119" w:type="dxa"/>
          </w:tcPr>
          <w:p w:rsidR="00314EBB" w:rsidRDefault="00314EBB" w:rsidP="00314EBB">
            <w:pPr>
              <w:jc w:val="right"/>
              <w:rPr>
                <w:sz w:val="22"/>
                <w:szCs w:val="22"/>
              </w:rPr>
            </w:pPr>
            <w:r>
              <w:rPr>
                <w:sz w:val="22"/>
                <w:szCs w:val="22"/>
              </w:rPr>
              <w:t>£50,000</w:t>
            </w:r>
          </w:p>
        </w:tc>
      </w:tr>
      <w:tr w:rsidR="00314EBB" w:rsidTr="00314EBB">
        <w:tc>
          <w:tcPr>
            <w:tcW w:w="6629" w:type="dxa"/>
          </w:tcPr>
          <w:p w:rsidR="00314EBB" w:rsidRDefault="00314EBB" w:rsidP="00314EBB">
            <w:pPr>
              <w:jc w:val="both"/>
              <w:rPr>
                <w:sz w:val="22"/>
                <w:szCs w:val="22"/>
              </w:rPr>
            </w:pPr>
            <w:r>
              <w:rPr>
                <w:sz w:val="22"/>
                <w:szCs w:val="22"/>
              </w:rPr>
              <w:t>Business Rates</w:t>
            </w:r>
          </w:p>
        </w:tc>
        <w:tc>
          <w:tcPr>
            <w:tcW w:w="2126" w:type="dxa"/>
          </w:tcPr>
          <w:p w:rsidR="00314EBB" w:rsidRDefault="00314EBB" w:rsidP="00314EBB">
            <w:pPr>
              <w:jc w:val="right"/>
              <w:rPr>
                <w:sz w:val="22"/>
                <w:szCs w:val="22"/>
              </w:rPr>
            </w:pPr>
            <w:r>
              <w:rPr>
                <w:sz w:val="22"/>
                <w:szCs w:val="22"/>
              </w:rPr>
              <w:t>£1.54</w:t>
            </w:r>
          </w:p>
        </w:tc>
        <w:tc>
          <w:tcPr>
            <w:tcW w:w="2119" w:type="dxa"/>
          </w:tcPr>
          <w:p w:rsidR="00314EBB" w:rsidRDefault="00314EBB" w:rsidP="00314EBB">
            <w:pPr>
              <w:jc w:val="right"/>
              <w:rPr>
                <w:sz w:val="22"/>
                <w:szCs w:val="22"/>
              </w:rPr>
            </w:pPr>
            <w:r>
              <w:rPr>
                <w:sz w:val="22"/>
                <w:szCs w:val="22"/>
              </w:rPr>
              <w:t>£15,000</w:t>
            </w:r>
          </w:p>
        </w:tc>
      </w:tr>
      <w:tr w:rsidR="00314EBB" w:rsidTr="00314EBB">
        <w:tc>
          <w:tcPr>
            <w:tcW w:w="6629" w:type="dxa"/>
          </w:tcPr>
          <w:p w:rsidR="00314EBB" w:rsidRDefault="00314EBB" w:rsidP="00314EBB">
            <w:pPr>
              <w:jc w:val="both"/>
              <w:rPr>
                <w:sz w:val="22"/>
                <w:szCs w:val="22"/>
              </w:rPr>
            </w:pPr>
            <w:r>
              <w:rPr>
                <w:sz w:val="22"/>
                <w:szCs w:val="22"/>
              </w:rPr>
              <w:t>New Services Delegation</w:t>
            </w:r>
            <w:r w:rsidR="009C2D7B">
              <w:rPr>
                <w:sz w:val="22"/>
                <w:szCs w:val="22"/>
              </w:rPr>
              <w:t xml:space="preserve"> (as special schools)</w:t>
            </w:r>
          </w:p>
        </w:tc>
        <w:tc>
          <w:tcPr>
            <w:tcW w:w="2126" w:type="dxa"/>
          </w:tcPr>
          <w:p w:rsidR="00314EBB" w:rsidRDefault="00314EBB" w:rsidP="00314EBB">
            <w:pPr>
              <w:jc w:val="right"/>
              <w:rPr>
                <w:sz w:val="22"/>
                <w:szCs w:val="22"/>
              </w:rPr>
            </w:pPr>
            <w:r>
              <w:rPr>
                <w:sz w:val="22"/>
                <w:szCs w:val="22"/>
              </w:rPr>
              <w:t>£1.87</w:t>
            </w:r>
          </w:p>
        </w:tc>
        <w:tc>
          <w:tcPr>
            <w:tcW w:w="2119" w:type="dxa"/>
          </w:tcPr>
          <w:p w:rsidR="00314EBB" w:rsidRDefault="00314EBB" w:rsidP="00314EBB">
            <w:pPr>
              <w:jc w:val="right"/>
              <w:rPr>
                <w:sz w:val="22"/>
                <w:szCs w:val="22"/>
              </w:rPr>
            </w:pPr>
            <w:r>
              <w:rPr>
                <w:sz w:val="22"/>
                <w:szCs w:val="22"/>
              </w:rPr>
              <w:t>£18,200</w:t>
            </w:r>
          </w:p>
        </w:tc>
      </w:tr>
      <w:tr w:rsidR="00314EBB" w:rsidTr="00314EBB">
        <w:tc>
          <w:tcPr>
            <w:tcW w:w="6629" w:type="dxa"/>
          </w:tcPr>
          <w:p w:rsidR="00314EBB" w:rsidRDefault="00314EBB" w:rsidP="00314EBB">
            <w:pPr>
              <w:jc w:val="both"/>
              <w:rPr>
                <w:sz w:val="22"/>
                <w:szCs w:val="22"/>
              </w:rPr>
            </w:pPr>
            <w:r>
              <w:rPr>
                <w:sz w:val="22"/>
                <w:szCs w:val="22"/>
              </w:rPr>
              <w:t>Pupil Mobility</w:t>
            </w:r>
          </w:p>
        </w:tc>
        <w:tc>
          <w:tcPr>
            <w:tcW w:w="2126" w:type="dxa"/>
          </w:tcPr>
          <w:p w:rsidR="00314EBB" w:rsidRDefault="00314EBB" w:rsidP="00314EBB">
            <w:pPr>
              <w:jc w:val="right"/>
              <w:rPr>
                <w:sz w:val="22"/>
                <w:szCs w:val="22"/>
              </w:rPr>
            </w:pPr>
            <w:r>
              <w:rPr>
                <w:sz w:val="22"/>
                <w:szCs w:val="22"/>
              </w:rPr>
              <w:t>£2.45</w:t>
            </w:r>
          </w:p>
        </w:tc>
        <w:tc>
          <w:tcPr>
            <w:tcW w:w="2119" w:type="dxa"/>
          </w:tcPr>
          <w:p w:rsidR="00314EBB" w:rsidRDefault="00314EBB" w:rsidP="00314EBB">
            <w:pPr>
              <w:jc w:val="right"/>
              <w:rPr>
                <w:sz w:val="22"/>
                <w:szCs w:val="22"/>
              </w:rPr>
            </w:pPr>
            <w:r>
              <w:rPr>
                <w:sz w:val="22"/>
                <w:szCs w:val="22"/>
              </w:rPr>
              <w:t>£23,950</w:t>
            </w:r>
          </w:p>
        </w:tc>
      </w:tr>
      <w:tr w:rsidR="00314EBB" w:rsidTr="00314EBB">
        <w:tc>
          <w:tcPr>
            <w:tcW w:w="6629" w:type="dxa"/>
          </w:tcPr>
          <w:p w:rsidR="00314EBB" w:rsidRPr="00314EBB" w:rsidRDefault="00314EBB" w:rsidP="00314EBB">
            <w:pPr>
              <w:jc w:val="both"/>
              <w:rPr>
                <w:b/>
                <w:sz w:val="22"/>
                <w:szCs w:val="22"/>
              </w:rPr>
            </w:pPr>
            <w:r w:rsidRPr="00314EBB">
              <w:rPr>
                <w:b/>
                <w:sz w:val="22"/>
                <w:szCs w:val="22"/>
              </w:rPr>
              <w:t>Total</w:t>
            </w:r>
          </w:p>
        </w:tc>
        <w:tc>
          <w:tcPr>
            <w:tcW w:w="2126" w:type="dxa"/>
          </w:tcPr>
          <w:p w:rsidR="00314EBB" w:rsidRPr="00314EBB" w:rsidRDefault="00314EBB" w:rsidP="00314EBB">
            <w:pPr>
              <w:jc w:val="right"/>
              <w:rPr>
                <w:b/>
                <w:sz w:val="22"/>
                <w:szCs w:val="22"/>
              </w:rPr>
            </w:pPr>
            <w:r>
              <w:rPr>
                <w:b/>
                <w:sz w:val="22"/>
                <w:szCs w:val="22"/>
              </w:rPr>
              <w:t>£62.27</w:t>
            </w:r>
          </w:p>
        </w:tc>
        <w:tc>
          <w:tcPr>
            <w:tcW w:w="2119" w:type="dxa"/>
          </w:tcPr>
          <w:p w:rsidR="00314EBB" w:rsidRPr="00314EBB" w:rsidRDefault="00314EBB" w:rsidP="00314EBB">
            <w:pPr>
              <w:jc w:val="right"/>
              <w:rPr>
                <w:b/>
                <w:sz w:val="22"/>
                <w:szCs w:val="22"/>
              </w:rPr>
            </w:pPr>
            <w:r>
              <w:rPr>
                <w:b/>
                <w:sz w:val="22"/>
                <w:szCs w:val="22"/>
              </w:rPr>
              <w:t>£607,150</w:t>
            </w:r>
          </w:p>
        </w:tc>
      </w:tr>
    </w:tbl>
    <w:p w:rsidR="00314EBB" w:rsidRPr="00314EBB" w:rsidRDefault="00314EBB" w:rsidP="00314EBB">
      <w:pPr>
        <w:jc w:val="both"/>
        <w:rPr>
          <w:sz w:val="22"/>
          <w:szCs w:val="22"/>
        </w:rPr>
      </w:pPr>
    </w:p>
    <w:p w:rsidR="009C2D7B" w:rsidRDefault="009C2D7B" w:rsidP="00897157">
      <w:pPr>
        <w:jc w:val="both"/>
        <w:rPr>
          <w:sz w:val="22"/>
          <w:szCs w:val="22"/>
        </w:rPr>
      </w:pPr>
      <w:r>
        <w:rPr>
          <w:sz w:val="22"/>
          <w:szCs w:val="22"/>
        </w:rPr>
        <w:t>8.</w:t>
      </w:r>
      <w:r w:rsidR="007E4D68">
        <w:rPr>
          <w:sz w:val="22"/>
          <w:szCs w:val="22"/>
        </w:rPr>
        <w:t>8</w:t>
      </w:r>
      <w:r w:rsidR="00033E97">
        <w:rPr>
          <w:sz w:val="22"/>
          <w:szCs w:val="22"/>
        </w:rPr>
        <w:t xml:space="preserve"> </w:t>
      </w:r>
      <w:r w:rsidR="007E4D68">
        <w:rPr>
          <w:sz w:val="22"/>
          <w:szCs w:val="22"/>
        </w:rPr>
        <w:t xml:space="preserve">Where the PRUs are close to full occupancy through the year, they will be funded at £62.27 per day. </w:t>
      </w:r>
      <w:r w:rsidR="00314EBB">
        <w:rPr>
          <w:sz w:val="22"/>
          <w:szCs w:val="22"/>
        </w:rPr>
        <w:t xml:space="preserve">The </w:t>
      </w:r>
      <w:r w:rsidR="007E4D68">
        <w:rPr>
          <w:sz w:val="22"/>
          <w:szCs w:val="22"/>
        </w:rPr>
        <w:t>basic</w:t>
      </w:r>
      <w:r>
        <w:rPr>
          <w:sz w:val="22"/>
          <w:szCs w:val="22"/>
        </w:rPr>
        <w:t xml:space="preserve"> day rate value</w:t>
      </w:r>
      <w:r w:rsidR="007E4D68">
        <w:rPr>
          <w:sz w:val="22"/>
          <w:szCs w:val="22"/>
        </w:rPr>
        <w:t xml:space="preserve"> of £62.27</w:t>
      </w:r>
      <w:r>
        <w:rPr>
          <w:sz w:val="22"/>
          <w:szCs w:val="22"/>
        </w:rPr>
        <w:t xml:space="preserve"> is proposed to be adjusted</w:t>
      </w:r>
      <w:r w:rsidR="007E4D68">
        <w:rPr>
          <w:sz w:val="22"/>
          <w:szCs w:val="22"/>
        </w:rPr>
        <w:t xml:space="preserve"> however</w:t>
      </w:r>
      <w:r>
        <w:rPr>
          <w:sz w:val="22"/>
          <w:szCs w:val="22"/>
        </w:rPr>
        <w:t>, where necessary, to</w:t>
      </w:r>
      <w:r w:rsidR="00314EBB">
        <w:rPr>
          <w:sz w:val="22"/>
          <w:szCs w:val="22"/>
        </w:rPr>
        <w:t xml:space="preserve"> ensu</w:t>
      </w:r>
      <w:r>
        <w:rPr>
          <w:sz w:val="22"/>
          <w:szCs w:val="22"/>
        </w:rPr>
        <w:t>re a minimum level of funding to enable capacity retention, meaning that the PRU will not receive less than:</w:t>
      </w:r>
    </w:p>
    <w:p w:rsidR="009C2D7B" w:rsidRDefault="009C2D7B" w:rsidP="00897157">
      <w:pPr>
        <w:jc w:val="both"/>
        <w:rPr>
          <w:sz w:val="22"/>
          <w:szCs w:val="22"/>
        </w:rPr>
      </w:pPr>
    </w:p>
    <w:p w:rsidR="009C2D7B" w:rsidRDefault="00314EBB" w:rsidP="009C2D7B">
      <w:pPr>
        <w:pStyle w:val="ListParagraph"/>
        <w:numPr>
          <w:ilvl w:val="0"/>
          <w:numId w:val="32"/>
        </w:numPr>
        <w:jc w:val="both"/>
        <w:rPr>
          <w:sz w:val="22"/>
          <w:szCs w:val="22"/>
        </w:rPr>
      </w:pPr>
      <w:r w:rsidRPr="009C2D7B">
        <w:rPr>
          <w:sz w:val="22"/>
          <w:szCs w:val="22"/>
        </w:rPr>
        <w:t xml:space="preserve">100% of the </w:t>
      </w:r>
      <w:r w:rsidR="009C2D7B">
        <w:rPr>
          <w:sz w:val="22"/>
          <w:szCs w:val="22"/>
        </w:rPr>
        <w:t xml:space="preserve">funding for the </w:t>
      </w:r>
      <w:r w:rsidRPr="009C2D7B">
        <w:rPr>
          <w:sz w:val="22"/>
          <w:szCs w:val="22"/>
        </w:rPr>
        <w:t>setting-need led fac</w:t>
      </w:r>
      <w:r w:rsidR="007E4D68">
        <w:rPr>
          <w:sz w:val="22"/>
          <w:szCs w:val="22"/>
        </w:rPr>
        <w:t>tors</w:t>
      </w:r>
      <w:r w:rsidR="009C2D7B">
        <w:rPr>
          <w:sz w:val="22"/>
          <w:szCs w:val="22"/>
        </w:rPr>
        <w:t>. This is £107,150 in cash terms.</w:t>
      </w:r>
    </w:p>
    <w:p w:rsidR="009C2D7B" w:rsidRDefault="009C2D7B" w:rsidP="009C2D7B">
      <w:pPr>
        <w:pStyle w:val="ListParagraph"/>
        <w:ind w:left="780"/>
        <w:jc w:val="both"/>
        <w:rPr>
          <w:sz w:val="22"/>
          <w:szCs w:val="22"/>
        </w:rPr>
      </w:pPr>
    </w:p>
    <w:p w:rsidR="00EE454C" w:rsidRDefault="009C2D7B" w:rsidP="009C2D7B">
      <w:pPr>
        <w:pStyle w:val="ListParagraph"/>
        <w:numPr>
          <w:ilvl w:val="0"/>
          <w:numId w:val="32"/>
        </w:numPr>
        <w:jc w:val="both"/>
        <w:rPr>
          <w:sz w:val="22"/>
          <w:szCs w:val="22"/>
        </w:rPr>
      </w:pPr>
      <w:r>
        <w:rPr>
          <w:sz w:val="22"/>
          <w:szCs w:val="22"/>
        </w:rPr>
        <w:t>88% of the £500,000 main provision element (this is equivalent to £8,800 per place on an annual basis).</w:t>
      </w:r>
    </w:p>
    <w:p w:rsidR="000018C1" w:rsidRDefault="000018C1" w:rsidP="000018C1">
      <w:pPr>
        <w:jc w:val="both"/>
        <w:rPr>
          <w:sz w:val="22"/>
          <w:szCs w:val="22"/>
        </w:rPr>
      </w:pPr>
    </w:p>
    <w:p w:rsidR="000018C1" w:rsidRPr="000018C1" w:rsidRDefault="000018C1" w:rsidP="000018C1">
      <w:pPr>
        <w:jc w:val="both"/>
        <w:rPr>
          <w:sz w:val="22"/>
          <w:szCs w:val="22"/>
        </w:rPr>
      </w:pPr>
      <w:r>
        <w:rPr>
          <w:sz w:val="22"/>
          <w:szCs w:val="22"/>
        </w:rPr>
        <w:t>On this basis, the minimum top up funding that would be allocated to a 50 place PRU provision would be £547,150 (£51.28 x 0.88 x 195 x 50 + £107,150).</w:t>
      </w:r>
      <w:r w:rsidR="007E4D68">
        <w:rPr>
          <w:sz w:val="22"/>
          <w:szCs w:val="22"/>
        </w:rPr>
        <w:t xml:space="preserve"> If the PRU was 85% occupied across the year, the actual day rate, incorporating these fixed minimums, would be £66.05.</w:t>
      </w:r>
    </w:p>
    <w:p w:rsidR="007E4D68" w:rsidRDefault="007E4D68" w:rsidP="00897157">
      <w:pPr>
        <w:jc w:val="both"/>
        <w:rPr>
          <w:sz w:val="22"/>
          <w:szCs w:val="22"/>
        </w:rPr>
      </w:pPr>
    </w:p>
    <w:p w:rsidR="007E4D68" w:rsidRDefault="001F210A" w:rsidP="00897157">
      <w:pPr>
        <w:jc w:val="both"/>
        <w:rPr>
          <w:sz w:val="22"/>
          <w:szCs w:val="22"/>
        </w:rPr>
      </w:pPr>
      <w:r>
        <w:rPr>
          <w:sz w:val="22"/>
          <w:szCs w:val="22"/>
        </w:rPr>
        <w:t xml:space="preserve">8.9 A quick </w:t>
      </w:r>
      <w:r w:rsidR="006223B9">
        <w:rPr>
          <w:sz w:val="22"/>
          <w:szCs w:val="22"/>
        </w:rPr>
        <w:t xml:space="preserve">note on </w:t>
      </w:r>
      <w:r>
        <w:rPr>
          <w:sz w:val="22"/>
          <w:szCs w:val="22"/>
        </w:rPr>
        <w:t>two</w:t>
      </w:r>
      <w:r w:rsidR="007E4D68">
        <w:rPr>
          <w:sz w:val="22"/>
          <w:szCs w:val="22"/>
        </w:rPr>
        <w:t xml:space="preserve"> technical features</w:t>
      </w:r>
      <w:r w:rsidR="004627F0">
        <w:rPr>
          <w:sz w:val="22"/>
          <w:szCs w:val="22"/>
        </w:rPr>
        <w:t xml:space="preserve"> around the in year application of this proposed model</w:t>
      </w:r>
      <w:r w:rsidR="007E4D68">
        <w:rPr>
          <w:sz w:val="22"/>
          <w:szCs w:val="22"/>
        </w:rPr>
        <w:t>:</w:t>
      </w:r>
    </w:p>
    <w:p w:rsidR="007E4D68" w:rsidRDefault="007E4D68" w:rsidP="00897157">
      <w:pPr>
        <w:jc w:val="both"/>
        <w:rPr>
          <w:sz w:val="22"/>
          <w:szCs w:val="22"/>
        </w:rPr>
      </w:pPr>
    </w:p>
    <w:p w:rsidR="003C4F3B" w:rsidRDefault="007E4D68" w:rsidP="007E4D68">
      <w:pPr>
        <w:pStyle w:val="ListParagraph"/>
        <w:numPr>
          <w:ilvl w:val="0"/>
          <w:numId w:val="33"/>
        </w:numPr>
        <w:jc w:val="both"/>
        <w:rPr>
          <w:sz w:val="22"/>
          <w:szCs w:val="22"/>
        </w:rPr>
      </w:pPr>
      <w:r>
        <w:rPr>
          <w:sz w:val="22"/>
          <w:szCs w:val="22"/>
        </w:rPr>
        <w:t xml:space="preserve">Although </w:t>
      </w:r>
      <w:r w:rsidR="00285D38">
        <w:rPr>
          <w:sz w:val="22"/>
          <w:szCs w:val="22"/>
        </w:rPr>
        <w:t xml:space="preserve">there is the option alongside this model to move to a more sensitive approach to the counting of </w:t>
      </w:r>
      <w:r w:rsidR="00E73AD6">
        <w:rPr>
          <w:sz w:val="22"/>
          <w:szCs w:val="22"/>
        </w:rPr>
        <w:t xml:space="preserve">actual </w:t>
      </w:r>
      <w:r w:rsidR="00285D38">
        <w:rPr>
          <w:sz w:val="22"/>
          <w:szCs w:val="22"/>
        </w:rPr>
        <w:t>occupancy in the PRUs, at this stage for 2020/21</w:t>
      </w:r>
      <w:r w:rsidR="00E73AD6">
        <w:rPr>
          <w:sz w:val="22"/>
          <w:szCs w:val="22"/>
        </w:rPr>
        <w:t>,</w:t>
      </w:r>
      <w:r w:rsidR="00285D38">
        <w:rPr>
          <w:sz w:val="22"/>
          <w:szCs w:val="22"/>
        </w:rPr>
        <w:t xml:space="preserve"> we do not propose to move away from the 10</w:t>
      </w:r>
      <w:r w:rsidR="00285D38" w:rsidRPr="00285D38">
        <w:rPr>
          <w:sz w:val="22"/>
          <w:szCs w:val="22"/>
          <w:vertAlign w:val="superscript"/>
        </w:rPr>
        <w:t>th</w:t>
      </w:r>
      <w:r w:rsidR="00285D38">
        <w:rPr>
          <w:sz w:val="22"/>
          <w:szCs w:val="22"/>
        </w:rPr>
        <w:t xml:space="preserve"> </w:t>
      </w:r>
      <w:r w:rsidR="00E73AD6">
        <w:rPr>
          <w:sz w:val="22"/>
          <w:szCs w:val="22"/>
        </w:rPr>
        <w:t>of the month c</w:t>
      </w:r>
      <w:r w:rsidR="00285D38">
        <w:rPr>
          <w:sz w:val="22"/>
          <w:szCs w:val="22"/>
        </w:rPr>
        <w:t>ensus, which is the process followed for the re-calculation of Banded Model funding for EHCPs. We expect to continue to re-calculate the funding of the PRUs on a monthly basis as now</w:t>
      </w:r>
      <w:r w:rsidR="00E73AD6">
        <w:rPr>
          <w:sz w:val="22"/>
          <w:szCs w:val="22"/>
        </w:rPr>
        <w:t>, taking</w:t>
      </w:r>
      <w:r w:rsidR="003C4F3B">
        <w:rPr>
          <w:sz w:val="22"/>
          <w:szCs w:val="22"/>
        </w:rPr>
        <w:t xml:space="preserve"> the 10</w:t>
      </w:r>
      <w:r w:rsidR="003C4F3B" w:rsidRPr="003C4F3B">
        <w:rPr>
          <w:sz w:val="22"/>
          <w:szCs w:val="22"/>
          <w:vertAlign w:val="superscript"/>
        </w:rPr>
        <w:t>th</w:t>
      </w:r>
      <w:r w:rsidR="003C4F3B">
        <w:rPr>
          <w:sz w:val="22"/>
          <w:szCs w:val="22"/>
        </w:rPr>
        <w:t xml:space="preserve"> of the month census as the actual </w:t>
      </w:r>
      <w:r w:rsidR="00E73AD6">
        <w:rPr>
          <w:sz w:val="22"/>
          <w:szCs w:val="22"/>
        </w:rPr>
        <w:t>occupancy</w:t>
      </w:r>
      <w:r w:rsidR="003C4F3B">
        <w:rPr>
          <w:sz w:val="22"/>
          <w:szCs w:val="22"/>
        </w:rPr>
        <w:t xml:space="preserve"> for that month</w:t>
      </w:r>
      <w:r w:rsidR="001F210A">
        <w:rPr>
          <w:sz w:val="22"/>
          <w:szCs w:val="22"/>
        </w:rPr>
        <w:t>.</w:t>
      </w:r>
      <w:r w:rsidR="004627F0">
        <w:rPr>
          <w:sz w:val="22"/>
          <w:szCs w:val="22"/>
        </w:rPr>
        <w:t xml:space="preserve"> We will keep this under review.</w:t>
      </w:r>
    </w:p>
    <w:p w:rsidR="003C4F3B" w:rsidRDefault="003C4F3B" w:rsidP="003C4F3B">
      <w:pPr>
        <w:pStyle w:val="ListParagraph"/>
        <w:jc w:val="both"/>
        <w:rPr>
          <w:sz w:val="22"/>
          <w:szCs w:val="22"/>
        </w:rPr>
      </w:pPr>
    </w:p>
    <w:p w:rsidR="003C4F3B" w:rsidRDefault="006223B9" w:rsidP="006223B9">
      <w:pPr>
        <w:pStyle w:val="ListParagraph"/>
        <w:numPr>
          <w:ilvl w:val="0"/>
          <w:numId w:val="33"/>
        </w:numPr>
        <w:jc w:val="both"/>
        <w:rPr>
          <w:sz w:val="22"/>
          <w:szCs w:val="22"/>
        </w:rPr>
      </w:pPr>
      <w:r w:rsidRPr="006223B9">
        <w:rPr>
          <w:sz w:val="22"/>
          <w:szCs w:val="22"/>
        </w:rPr>
        <w:t>W</w:t>
      </w:r>
      <w:r w:rsidR="003C4F3B" w:rsidRPr="006223B9">
        <w:rPr>
          <w:sz w:val="22"/>
          <w:szCs w:val="22"/>
        </w:rPr>
        <w:t xml:space="preserve">e will </w:t>
      </w:r>
      <w:r w:rsidRPr="006223B9">
        <w:rPr>
          <w:sz w:val="22"/>
          <w:szCs w:val="22"/>
        </w:rPr>
        <w:t xml:space="preserve">also continue </w:t>
      </w:r>
      <w:r>
        <w:rPr>
          <w:sz w:val="22"/>
          <w:szCs w:val="22"/>
        </w:rPr>
        <w:t xml:space="preserve">in 2020/21 </w:t>
      </w:r>
      <w:r w:rsidRPr="006223B9">
        <w:rPr>
          <w:sz w:val="22"/>
          <w:szCs w:val="22"/>
        </w:rPr>
        <w:t xml:space="preserve">to </w:t>
      </w:r>
      <w:r w:rsidR="004627F0">
        <w:rPr>
          <w:sz w:val="22"/>
          <w:szCs w:val="22"/>
        </w:rPr>
        <w:t xml:space="preserve">calculate and </w:t>
      </w:r>
      <w:r w:rsidRPr="006223B9">
        <w:rPr>
          <w:sz w:val="22"/>
          <w:szCs w:val="22"/>
        </w:rPr>
        <w:t>profile top up funding across 12 months, but will keep this under review.</w:t>
      </w:r>
      <w:r w:rsidR="003C4F3B" w:rsidRPr="006223B9">
        <w:rPr>
          <w:sz w:val="22"/>
          <w:szCs w:val="22"/>
        </w:rPr>
        <w:t xml:space="preserve"> </w:t>
      </w:r>
      <w:r w:rsidRPr="006223B9">
        <w:rPr>
          <w:sz w:val="22"/>
          <w:szCs w:val="22"/>
        </w:rPr>
        <w:t xml:space="preserve">As </w:t>
      </w:r>
      <w:r w:rsidR="003C4F3B" w:rsidRPr="006223B9">
        <w:rPr>
          <w:sz w:val="22"/>
          <w:szCs w:val="22"/>
        </w:rPr>
        <w:t xml:space="preserve">we have moved to using a day rate and 195 school </w:t>
      </w:r>
      <w:r>
        <w:rPr>
          <w:sz w:val="22"/>
          <w:szCs w:val="22"/>
        </w:rPr>
        <w:t>days, going forward</w:t>
      </w:r>
      <w:r w:rsidR="006404BA">
        <w:rPr>
          <w:sz w:val="22"/>
          <w:szCs w:val="22"/>
        </w:rPr>
        <w:t>,</w:t>
      </w:r>
      <w:r>
        <w:rPr>
          <w:sz w:val="22"/>
          <w:szCs w:val="22"/>
        </w:rPr>
        <w:t xml:space="preserve"> we could</w:t>
      </w:r>
      <w:r w:rsidRPr="006223B9">
        <w:rPr>
          <w:sz w:val="22"/>
          <w:szCs w:val="22"/>
        </w:rPr>
        <w:t xml:space="preserve"> </w:t>
      </w:r>
      <w:r w:rsidR="003C4F3B" w:rsidRPr="006223B9">
        <w:rPr>
          <w:sz w:val="22"/>
          <w:szCs w:val="22"/>
        </w:rPr>
        <w:t>be more specific about the number of days delivered</w:t>
      </w:r>
      <w:r w:rsidRPr="006223B9">
        <w:rPr>
          <w:sz w:val="22"/>
          <w:szCs w:val="22"/>
        </w:rPr>
        <w:t xml:space="preserve"> and funded</w:t>
      </w:r>
      <w:r w:rsidR="003C4F3B" w:rsidRPr="006223B9">
        <w:rPr>
          <w:sz w:val="22"/>
          <w:szCs w:val="22"/>
        </w:rPr>
        <w:t xml:space="preserve"> each month, taking account of </w:t>
      </w:r>
      <w:r w:rsidR="001F210A" w:rsidRPr="006223B9">
        <w:rPr>
          <w:sz w:val="22"/>
          <w:szCs w:val="22"/>
        </w:rPr>
        <w:t xml:space="preserve">the profile of </w:t>
      </w:r>
      <w:r w:rsidR="003C4F3B" w:rsidRPr="006223B9">
        <w:rPr>
          <w:sz w:val="22"/>
          <w:szCs w:val="22"/>
        </w:rPr>
        <w:t>holidays. This</w:t>
      </w:r>
      <w:r>
        <w:rPr>
          <w:sz w:val="22"/>
          <w:szCs w:val="22"/>
        </w:rPr>
        <w:t xml:space="preserve"> would</w:t>
      </w:r>
      <w:r w:rsidR="003C4F3B" w:rsidRPr="006223B9">
        <w:rPr>
          <w:sz w:val="22"/>
          <w:szCs w:val="22"/>
        </w:rPr>
        <w:t xml:space="preserve"> m</w:t>
      </w:r>
      <w:r>
        <w:rPr>
          <w:sz w:val="22"/>
          <w:szCs w:val="22"/>
        </w:rPr>
        <w:t>ean</w:t>
      </w:r>
      <w:r w:rsidR="003C4F3B" w:rsidRPr="006223B9">
        <w:rPr>
          <w:sz w:val="22"/>
          <w:szCs w:val="22"/>
        </w:rPr>
        <w:t xml:space="preserve"> that</w:t>
      </w:r>
      <w:r w:rsidR="001F210A" w:rsidRPr="006223B9">
        <w:rPr>
          <w:sz w:val="22"/>
          <w:szCs w:val="22"/>
        </w:rPr>
        <w:t>, unlike now,</w:t>
      </w:r>
      <w:r>
        <w:rPr>
          <w:sz w:val="22"/>
          <w:szCs w:val="22"/>
        </w:rPr>
        <w:t xml:space="preserve"> for example,</w:t>
      </w:r>
      <w:r w:rsidR="003C4F3B" w:rsidRPr="006223B9">
        <w:rPr>
          <w:sz w:val="22"/>
          <w:szCs w:val="22"/>
        </w:rPr>
        <w:t xml:space="preserve"> top up funding would not be</w:t>
      </w:r>
      <w:r w:rsidR="006404BA">
        <w:rPr>
          <w:sz w:val="22"/>
          <w:szCs w:val="22"/>
        </w:rPr>
        <w:t xml:space="preserve"> calculated and</w:t>
      </w:r>
      <w:r w:rsidR="003C4F3B" w:rsidRPr="006223B9">
        <w:rPr>
          <w:sz w:val="22"/>
          <w:szCs w:val="22"/>
        </w:rPr>
        <w:t xml:space="preserve"> allocated in August.</w:t>
      </w:r>
      <w:r>
        <w:rPr>
          <w:sz w:val="22"/>
          <w:szCs w:val="22"/>
        </w:rPr>
        <w:t xml:space="preserve"> We would like to do some more work </w:t>
      </w:r>
      <w:r w:rsidR="00C14698">
        <w:rPr>
          <w:sz w:val="22"/>
          <w:szCs w:val="22"/>
        </w:rPr>
        <w:t>to look at the extent to which the current</w:t>
      </w:r>
      <w:r>
        <w:rPr>
          <w:sz w:val="22"/>
          <w:szCs w:val="22"/>
        </w:rPr>
        <w:t xml:space="preserve"> flattened </w:t>
      </w:r>
      <w:r w:rsidR="004627F0">
        <w:rPr>
          <w:sz w:val="22"/>
          <w:szCs w:val="22"/>
        </w:rPr>
        <w:t xml:space="preserve">12 month </w:t>
      </w:r>
      <w:r>
        <w:rPr>
          <w:sz w:val="22"/>
          <w:szCs w:val="22"/>
        </w:rPr>
        <w:t>profile arrangement balances providing a secure funding base for the PRUs with ensuring that the funding mo</w:t>
      </w:r>
      <w:r w:rsidR="00C14698">
        <w:rPr>
          <w:sz w:val="22"/>
          <w:szCs w:val="22"/>
        </w:rPr>
        <w:t>del most accurately responds to</w:t>
      </w:r>
      <w:r>
        <w:rPr>
          <w:sz w:val="22"/>
          <w:szCs w:val="22"/>
        </w:rPr>
        <w:t xml:space="preserve"> true occupancy as this changes during the year. This </w:t>
      </w:r>
      <w:r w:rsidR="004627F0">
        <w:rPr>
          <w:sz w:val="22"/>
          <w:szCs w:val="22"/>
        </w:rPr>
        <w:t>w</w:t>
      </w:r>
      <w:r w:rsidR="006404BA">
        <w:rPr>
          <w:sz w:val="22"/>
          <w:szCs w:val="22"/>
        </w:rPr>
        <w:t>ill</w:t>
      </w:r>
      <w:r w:rsidR="004627F0">
        <w:rPr>
          <w:sz w:val="22"/>
          <w:szCs w:val="22"/>
        </w:rPr>
        <w:t xml:space="preserve"> be a more significant matter to consider</w:t>
      </w:r>
      <w:r>
        <w:rPr>
          <w:sz w:val="22"/>
          <w:szCs w:val="22"/>
        </w:rPr>
        <w:t xml:space="preserve"> where the numbers on roll in our PRUs are significantly different at different times of the year.</w:t>
      </w:r>
    </w:p>
    <w:p w:rsidR="003C4F3B" w:rsidRDefault="003C4F3B" w:rsidP="00897157">
      <w:pPr>
        <w:jc w:val="both"/>
        <w:rPr>
          <w:sz w:val="22"/>
          <w:szCs w:val="22"/>
        </w:rPr>
      </w:pPr>
    </w:p>
    <w:p w:rsidR="007E4D68" w:rsidRDefault="007E4D68" w:rsidP="00897157">
      <w:pPr>
        <w:jc w:val="both"/>
        <w:rPr>
          <w:sz w:val="22"/>
          <w:szCs w:val="22"/>
        </w:rPr>
      </w:pPr>
      <w:r>
        <w:rPr>
          <w:sz w:val="22"/>
          <w:szCs w:val="22"/>
        </w:rPr>
        <w:t>8.10</w:t>
      </w:r>
      <w:r w:rsidR="00E73AD6">
        <w:rPr>
          <w:sz w:val="22"/>
          <w:szCs w:val="22"/>
        </w:rPr>
        <w:t xml:space="preserve"> A</w:t>
      </w:r>
      <w:r>
        <w:rPr>
          <w:sz w:val="22"/>
          <w:szCs w:val="22"/>
        </w:rPr>
        <w:t xml:space="preserve">s this new model will be implemented for the first time on a full year basis in 2020/21, we would expect to fully review it for 2021/22 to ensure that it is working to effectively support the PRUs as well as </w:t>
      </w:r>
      <w:r w:rsidR="001F210A">
        <w:rPr>
          <w:sz w:val="22"/>
          <w:szCs w:val="22"/>
        </w:rPr>
        <w:t>to ensure</w:t>
      </w:r>
      <w:r>
        <w:rPr>
          <w:sz w:val="22"/>
          <w:szCs w:val="22"/>
        </w:rPr>
        <w:t xml:space="preserve"> the appropriate allocation of</w:t>
      </w:r>
      <w:r w:rsidR="001F210A">
        <w:rPr>
          <w:sz w:val="22"/>
          <w:szCs w:val="22"/>
        </w:rPr>
        <w:t xml:space="preserve"> resources from</w:t>
      </w:r>
      <w:r>
        <w:rPr>
          <w:sz w:val="22"/>
          <w:szCs w:val="22"/>
        </w:rPr>
        <w:t xml:space="preserve"> the High Needs Block.</w:t>
      </w:r>
    </w:p>
    <w:p w:rsidR="00B532B9" w:rsidRPr="001F210A" w:rsidRDefault="00EE454C" w:rsidP="00897157">
      <w:pPr>
        <w:jc w:val="both"/>
        <w:rPr>
          <w:sz w:val="22"/>
          <w:szCs w:val="22"/>
        </w:rPr>
      </w:pPr>
      <w:r>
        <w:rPr>
          <w:sz w:val="22"/>
          <w:szCs w:val="22"/>
        </w:rPr>
        <w:t xml:space="preserve"> </w:t>
      </w:r>
    </w:p>
    <w:p w:rsidR="00414949" w:rsidRDefault="00380B51" w:rsidP="00414949">
      <w:pPr>
        <w:jc w:val="both"/>
        <w:rPr>
          <w:b/>
          <w:color w:val="548DD4" w:themeColor="text2" w:themeTint="99"/>
          <w:sz w:val="22"/>
          <w:szCs w:val="22"/>
        </w:rPr>
      </w:pPr>
      <w:r>
        <w:rPr>
          <w:b/>
          <w:color w:val="548DD4" w:themeColor="text2" w:themeTint="99"/>
          <w:sz w:val="22"/>
          <w:szCs w:val="22"/>
        </w:rPr>
        <w:t>Question 6</w:t>
      </w:r>
      <w:r w:rsidR="00E724B2">
        <w:rPr>
          <w:b/>
          <w:color w:val="548DD4" w:themeColor="text2" w:themeTint="99"/>
          <w:sz w:val="22"/>
          <w:szCs w:val="22"/>
        </w:rPr>
        <w:t xml:space="preserve"> – Do you agree with the Day Rate mechanism that the Authority proposes to use to fund the PRUs from 1 April 2020?</w:t>
      </w:r>
      <w:r w:rsidR="00A6750E">
        <w:rPr>
          <w:b/>
          <w:color w:val="548DD4" w:themeColor="text2" w:themeTint="99"/>
          <w:sz w:val="22"/>
          <w:szCs w:val="22"/>
        </w:rPr>
        <w:t xml:space="preserve"> If not, please can you explain why not.</w:t>
      </w:r>
    </w:p>
    <w:p w:rsidR="00E724B2" w:rsidRDefault="00E724B2" w:rsidP="00414949">
      <w:pPr>
        <w:jc w:val="both"/>
        <w:rPr>
          <w:b/>
          <w:color w:val="548DD4" w:themeColor="text2" w:themeTint="99"/>
          <w:sz w:val="22"/>
          <w:szCs w:val="22"/>
        </w:rPr>
      </w:pPr>
    </w:p>
    <w:p w:rsidR="00380B51" w:rsidRDefault="00380B51" w:rsidP="00380B51">
      <w:pPr>
        <w:jc w:val="both"/>
        <w:rPr>
          <w:b/>
          <w:color w:val="548DD4" w:themeColor="text2" w:themeTint="99"/>
          <w:sz w:val="22"/>
          <w:szCs w:val="22"/>
        </w:rPr>
      </w:pPr>
      <w:r>
        <w:rPr>
          <w:b/>
          <w:color w:val="548DD4" w:themeColor="text2" w:themeTint="99"/>
          <w:sz w:val="22"/>
          <w:szCs w:val="22"/>
        </w:rPr>
        <w:t>Question 7 – Do you have any comments (including technical comments) on the p</w:t>
      </w:r>
      <w:r w:rsidR="00E724B2">
        <w:rPr>
          <w:b/>
          <w:color w:val="548DD4" w:themeColor="text2" w:themeTint="99"/>
          <w:sz w:val="22"/>
          <w:szCs w:val="22"/>
        </w:rPr>
        <w:t>roposed Day-Rate mechanism</w:t>
      </w:r>
      <w:r>
        <w:rPr>
          <w:b/>
          <w:color w:val="548DD4" w:themeColor="text2" w:themeTint="99"/>
          <w:sz w:val="22"/>
          <w:szCs w:val="22"/>
        </w:rPr>
        <w:t xml:space="preserve"> you would like the Authority to consider? </w:t>
      </w:r>
    </w:p>
    <w:p w:rsidR="00414949" w:rsidRDefault="00414949" w:rsidP="00897157">
      <w:pPr>
        <w:jc w:val="both"/>
        <w:rPr>
          <w:b/>
          <w:color w:val="FF0000"/>
          <w:sz w:val="22"/>
          <w:szCs w:val="22"/>
        </w:rPr>
      </w:pPr>
    </w:p>
    <w:p w:rsidR="00E724B2" w:rsidRDefault="00E724B2" w:rsidP="00897157">
      <w:pPr>
        <w:jc w:val="both"/>
        <w:rPr>
          <w:b/>
          <w:color w:val="FF0000"/>
          <w:sz w:val="22"/>
          <w:szCs w:val="22"/>
        </w:rPr>
      </w:pPr>
    </w:p>
    <w:p w:rsidR="00897157" w:rsidRPr="009968E9" w:rsidRDefault="004B4608" w:rsidP="00897157">
      <w:pPr>
        <w:jc w:val="both"/>
        <w:rPr>
          <w:b/>
          <w:sz w:val="22"/>
          <w:szCs w:val="22"/>
        </w:rPr>
      </w:pPr>
      <w:r w:rsidRPr="009968E9">
        <w:rPr>
          <w:b/>
          <w:sz w:val="22"/>
          <w:szCs w:val="22"/>
        </w:rPr>
        <w:t>9</w:t>
      </w:r>
      <w:r w:rsidR="007B515F" w:rsidRPr="009968E9">
        <w:rPr>
          <w:b/>
          <w:sz w:val="22"/>
          <w:szCs w:val="22"/>
        </w:rPr>
        <w:t>.</w:t>
      </w:r>
      <w:r w:rsidR="007B515F" w:rsidRPr="009968E9">
        <w:rPr>
          <w:b/>
          <w:sz w:val="22"/>
          <w:szCs w:val="22"/>
        </w:rPr>
        <w:tab/>
      </w:r>
      <w:r w:rsidR="009968E9" w:rsidRPr="009968E9">
        <w:rPr>
          <w:b/>
          <w:sz w:val="22"/>
          <w:szCs w:val="22"/>
        </w:rPr>
        <w:t xml:space="preserve"> Sharing the Cost of Specialist E</w:t>
      </w:r>
      <w:r w:rsidR="00897157" w:rsidRPr="009968E9">
        <w:rPr>
          <w:b/>
          <w:sz w:val="22"/>
          <w:szCs w:val="22"/>
        </w:rPr>
        <w:t>quipment</w:t>
      </w:r>
      <w:r w:rsidR="007E7582">
        <w:rPr>
          <w:b/>
          <w:sz w:val="22"/>
          <w:szCs w:val="22"/>
        </w:rPr>
        <w:t xml:space="preserve"> for Children and Young People with EHCPs</w:t>
      </w:r>
    </w:p>
    <w:p w:rsidR="00897157" w:rsidRPr="007E7582" w:rsidRDefault="00897157" w:rsidP="00DE780F">
      <w:pPr>
        <w:ind w:left="360"/>
        <w:jc w:val="both"/>
        <w:rPr>
          <w:sz w:val="22"/>
          <w:szCs w:val="22"/>
        </w:rPr>
      </w:pPr>
    </w:p>
    <w:p w:rsidR="00575874" w:rsidRPr="007E7582" w:rsidRDefault="00C3269C" w:rsidP="00C3269C">
      <w:pPr>
        <w:jc w:val="both"/>
        <w:rPr>
          <w:sz w:val="22"/>
          <w:szCs w:val="22"/>
        </w:rPr>
      </w:pPr>
      <w:r w:rsidRPr="007E7582">
        <w:rPr>
          <w:sz w:val="22"/>
          <w:szCs w:val="22"/>
        </w:rPr>
        <w:t xml:space="preserve">9.1 Specialist equipment </w:t>
      </w:r>
      <w:r w:rsidR="00D90D48" w:rsidRPr="007E7582">
        <w:rPr>
          <w:sz w:val="22"/>
          <w:szCs w:val="22"/>
        </w:rPr>
        <w:t>“</w:t>
      </w:r>
      <w:r w:rsidRPr="007E7582">
        <w:rPr>
          <w:sz w:val="22"/>
          <w:szCs w:val="22"/>
        </w:rPr>
        <w:t xml:space="preserve">is a piece of portable equipment, which having been assessed for by a relevant professional is required to avoid substantial disadvantage to a child with a complex disability. </w:t>
      </w:r>
      <w:r w:rsidR="00D90D48" w:rsidRPr="007E7582">
        <w:rPr>
          <w:sz w:val="22"/>
          <w:szCs w:val="22"/>
        </w:rPr>
        <w:t>This equipment must be specialist or used for a specialist purpose i.e. relating to that child</w:t>
      </w:r>
      <w:r w:rsidR="007E7582">
        <w:rPr>
          <w:sz w:val="22"/>
          <w:szCs w:val="22"/>
        </w:rPr>
        <w:t>’s</w:t>
      </w:r>
      <w:r w:rsidR="00D90D48" w:rsidRPr="007E7582">
        <w:rPr>
          <w:sz w:val="22"/>
          <w:szCs w:val="22"/>
        </w:rPr>
        <w:t xml:space="preserve"> or young person’s special educational need or disability and should facilitate access to the environment / facilities / curriculum and should usually move on with the child or young person”.</w:t>
      </w:r>
    </w:p>
    <w:p w:rsidR="00575874" w:rsidRDefault="00575874" w:rsidP="007E7582">
      <w:pPr>
        <w:jc w:val="both"/>
        <w:rPr>
          <w:color w:val="FF0000"/>
          <w:sz w:val="22"/>
          <w:szCs w:val="22"/>
        </w:rPr>
      </w:pPr>
    </w:p>
    <w:p w:rsidR="00466026" w:rsidRDefault="007E7582" w:rsidP="00533684">
      <w:pPr>
        <w:jc w:val="both"/>
        <w:rPr>
          <w:sz w:val="22"/>
          <w:szCs w:val="22"/>
        </w:rPr>
      </w:pPr>
      <w:r>
        <w:rPr>
          <w:sz w:val="22"/>
          <w:szCs w:val="22"/>
        </w:rPr>
        <w:t>9.2</w:t>
      </w:r>
      <w:r w:rsidR="00533684" w:rsidRPr="00533684">
        <w:rPr>
          <w:sz w:val="22"/>
          <w:szCs w:val="22"/>
        </w:rPr>
        <w:t xml:space="preserve"> A shared approach to meeting the cost of</w:t>
      </w:r>
      <w:r w:rsidR="00816ECB">
        <w:rPr>
          <w:sz w:val="22"/>
          <w:szCs w:val="22"/>
        </w:rPr>
        <w:t xml:space="preserve"> specialist equipment</w:t>
      </w:r>
      <w:r w:rsidR="00533684" w:rsidRPr="00533684">
        <w:rPr>
          <w:sz w:val="22"/>
          <w:szCs w:val="22"/>
        </w:rPr>
        <w:t xml:space="preserve"> </w:t>
      </w:r>
      <w:r w:rsidR="00EC1E98">
        <w:rPr>
          <w:sz w:val="22"/>
          <w:szCs w:val="22"/>
        </w:rPr>
        <w:t xml:space="preserve">for children and young people with EHCPs </w:t>
      </w:r>
      <w:r w:rsidR="00816ECB">
        <w:rPr>
          <w:sz w:val="22"/>
          <w:szCs w:val="22"/>
        </w:rPr>
        <w:t>supports</w:t>
      </w:r>
      <w:r w:rsidR="00533684" w:rsidRPr="00533684">
        <w:rPr>
          <w:sz w:val="22"/>
          <w:szCs w:val="22"/>
        </w:rPr>
        <w:t xml:space="preserve"> the </w:t>
      </w:r>
      <w:r w:rsidR="00533684">
        <w:rPr>
          <w:sz w:val="22"/>
          <w:szCs w:val="22"/>
        </w:rPr>
        <w:t>Council</w:t>
      </w:r>
      <w:r>
        <w:rPr>
          <w:sz w:val="22"/>
          <w:szCs w:val="22"/>
        </w:rPr>
        <w:t>,</w:t>
      </w:r>
      <w:r w:rsidR="00AE40C0">
        <w:rPr>
          <w:sz w:val="22"/>
          <w:szCs w:val="22"/>
        </w:rPr>
        <w:t xml:space="preserve"> schools</w:t>
      </w:r>
      <w:r>
        <w:rPr>
          <w:sz w:val="22"/>
          <w:szCs w:val="22"/>
        </w:rPr>
        <w:t xml:space="preserve"> and other providers</w:t>
      </w:r>
      <w:r w:rsidR="00466026">
        <w:rPr>
          <w:sz w:val="22"/>
          <w:szCs w:val="22"/>
        </w:rPr>
        <w:t xml:space="preserve"> to</w:t>
      </w:r>
      <w:r w:rsidR="00533684" w:rsidRPr="00533684">
        <w:rPr>
          <w:sz w:val="22"/>
          <w:szCs w:val="22"/>
        </w:rPr>
        <w:t xml:space="preserve"> devel</w:t>
      </w:r>
      <w:r w:rsidR="00EC1E98">
        <w:rPr>
          <w:sz w:val="22"/>
          <w:szCs w:val="22"/>
        </w:rPr>
        <w:t>op</w:t>
      </w:r>
      <w:r w:rsidR="00466026">
        <w:rPr>
          <w:sz w:val="22"/>
          <w:szCs w:val="22"/>
        </w:rPr>
        <w:t xml:space="preserve"> and maintain</w:t>
      </w:r>
      <w:r w:rsidR="00EC1E98">
        <w:rPr>
          <w:sz w:val="22"/>
          <w:szCs w:val="22"/>
        </w:rPr>
        <w:t xml:space="preserve"> inclusive provision</w:t>
      </w:r>
      <w:r w:rsidR="00E96496">
        <w:rPr>
          <w:sz w:val="22"/>
          <w:szCs w:val="22"/>
        </w:rPr>
        <w:t xml:space="preserve"> and to meet the requirements of the Equality Act 2010</w:t>
      </w:r>
      <w:r w:rsidR="00EC1E98">
        <w:rPr>
          <w:sz w:val="22"/>
          <w:szCs w:val="22"/>
        </w:rPr>
        <w:t>.</w:t>
      </w:r>
      <w:r w:rsidR="00466026">
        <w:rPr>
          <w:sz w:val="22"/>
          <w:szCs w:val="22"/>
        </w:rPr>
        <w:t xml:space="preserve"> Bradford is in line with the practice found in other authorities in sharing the cost of specialist equipment for children and young people with EHCPs between the High Needs Block and school delegated budgets.</w:t>
      </w:r>
      <w:r w:rsidR="00533684">
        <w:rPr>
          <w:sz w:val="22"/>
          <w:szCs w:val="22"/>
        </w:rPr>
        <w:t xml:space="preserve"> </w:t>
      </w:r>
      <w:r w:rsidR="007E56DA">
        <w:rPr>
          <w:sz w:val="22"/>
          <w:szCs w:val="22"/>
        </w:rPr>
        <w:t xml:space="preserve">This section does not talk about the relationship between health and education services in the sharing of costs. </w:t>
      </w:r>
      <w:r w:rsidR="00E96496">
        <w:rPr>
          <w:sz w:val="22"/>
          <w:szCs w:val="22"/>
        </w:rPr>
        <w:t>It</w:t>
      </w:r>
      <w:r w:rsidR="007E56DA">
        <w:rPr>
          <w:sz w:val="22"/>
          <w:szCs w:val="22"/>
        </w:rPr>
        <w:t xml:space="preserve"> sets out how the cost of the education service element is shared between</w:t>
      </w:r>
      <w:r w:rsidR="00E96496">
        <w:rPr>
          <w:sz w:val="22"/>
          <w:szCs w:val="22"/>
        </w:rPr>
        <w:t xml:space="preserve"> the Council and</w:t>
      </w:r>
      <w:r w:rsidR="004C7540">
        <w:rPr>
          <w:sz w:val="22"/>
          <w:szCs w:val="22"/>
        </w:rPr>
        <w:t xml:space="preserve"> schools</w:t>
      </w:r>
      <w:r w:rsidR="007E56DA">
        <w:rPr>
          <w:sz w:val="22"/>
          <w:szCs w:val="22"/>
        </w:rPr>
        <w:t>.</w:t>
      </w:r>
    </w:p>
    <w:p w:rsidR="00466026" w:rsidRDefault="00466026" w:rsidP="00533684">
      <w:pPr>
        <w:jc w:val="both"/>
        <w:rPr>
          <w:sz w:val="22"/>
          <w:szCs w:val="22"/>
        </w:rPr>
      </w:pPr>
    </w:p>
    <w:p w:rsidR="00EC1E98" w:rsidRDefault="00466026" w:rsidP="00533684">
      <w:pPr>
        <w:jc w:val="both"/>
        <w:rPr>
          <w:sz w:val="22"/>
          <w:szCs w:val="22"/>
        </w:rPr>
      </w:pPr>
      <w:r>
        <w:rPr>
          <w:sz w:val="22"/>
          <w:szCs w:val="22"/>
        </w:rPr>
        <w:t xml:space="preserve">9.3 </w:t>
      </w:r>
      <w:r w:rsidR="00AE40C0">
        <w:rPr>
          <w:sz w:val="22"/>
          <w:szCs w:val="22"/>
        </w:rPr>
        <w:t>In Bradford, t</w:t>
      </w:r>
      <w:r w:rsidR="007E7582">
        <w:rPr>
          <w:sz w:val="22"/>
          <w:szCs w:val="22"/>
        </w:rPr>
        <w:t>he cost is currently shared</w:t>
      </w:r>
      <w:r w:rsidR="00F2080D">
        <w:rPr>
          <w:sz w:val="22"/>
          <w:szCs w:val="22"/>
        </w:rPr>
        <w:t xml:space="preserve"> </w:t>
      </w:r>
      <w:r w:rsidR="00EC1E98">
        <w:rPr>
          <w:sz w:val="22"/>
          <w:szCs w:val="22"/>
        </w:rPr>
        <w:t>as follows:</w:t>
      </w:r>
    </w:p>
    <w:p w:rsidR="00EC1E98" w:rsidRDefault="00EC1E98" w:rsidP="00533684">
      <w:pPr>
        <w:jc w:val="both"/>
        <w:rPr>
          <w:sz w:val="22"/>
          <w:szCs w:val="22"/>
        </w:rPr>
      </w:pPr>
    </w:p>
    <w:p w:rsidR="00EC1E98" w:rsidRDefault="007E7582" w:rsidP="00C15620">
      <w:pPr>
        <w:pStyle w:val="ListParagraph"/>
        <w:numPr>
          <w:ilvl w:val="0"/>
          <w:numId w:val="11"/>
        </w:numPr>
        <w:jc w:val="both"/>
        <w:rPr>
          <w:sz w:val="22"/>
          <w:szCs w:val="22"/>
        </w:rPr>
      </w:pPr>
      <w:r>
        <w:rPr>
          <w:sz w:val="22"/>
          <w:szCs w:val="22"/>
        </w:rPr>
        <w:t xml:space="preserve">Mainstream schools and other providers </w:t>
      </w:r>
      <w:r w:rsidR="00EC1E98" w:rsidRPr="00EC1E98">
        <w:rPr>
          <w:sz w:val="22"/>
          <w:szCs w:val="22"/>
        </w:rPr>
        <w:t xml:space="preserve">are </w:t>
      </w:r>
      <w:r w:rsidR="00816ECB" w:rsidRPr="00EC1E98">
        <w:rPr>
          <w:sz w:val="22"/>
          <w:szCs w:val="22"/>
        </w:rPr>
        <w:t>expected</w:t>
      </w:r>
      <w:r w:rsidR="00EC1E98" w:rsidRPr="00EC1E98">
        <w:rPr>
          <w:sz w:val="22"/>
          <w:szCs w:val="22"/>
        </w:rPr>
        <w:t xml:space="preserve"> to meet</w:t>
      </w:r>
      <w:r w:rsidR="00816ECB" w:rsidRPr="00EC1E98">
        <w:rPr>
          <w:sz w:val="22"/>
          <w:szCs w:val="22"/>
        </w:rPr>
        <w:t xml:space="preserve"> </w:t>
      </w:r>
      <w:r w:rsidR="00EC1E98">
        <w:rPr>
          <w:sz w:val="22"/>
          <w:szCs w:val="22"/>
        </w:rPr>
        <w:t>from their</w:t>
      </w:r>
      <w:r w:rsidR="00816ECB" w:rsidRPr="00EC1E98">
        <w:rPr>
          <w:sz w:val="22"/>
          <w:szCs w:val="22"/>
        </w:rPr>
        <w:t xml:space="preserve"> delegated budgets</w:t>
      </w:r>
      <w:r w:rsidR="00466026">
        <w:rPr>
          <w:sz w:val="22"/>
          <w:szCs w:val="22"/>
        </w:rPr>
        <w:t xml:space="preserve"> (from </w:t>
      </w:r>
      <w:r w:rsidR="00DA43F4">
        <w:rPr>
          <w:sz w:val="22"/>
          <w:szCs w:val="22"/>
        </w:rPr>
        <w:t xml:space="preserve">their £10,000 </w:t>
      </w:r>
      <w:r w:rsidR="00E96496">
        <w:rPr>
          <w:sz w:val="22"/>
          <w:szCs w:val="22"/>
        </w:rPr>
        <w:t xml:space="preserve">Element 1 and Element 2 </w:t>
      </w:r>
      <w:r w:rsidR="00DA43F4">
        <w:rPr>
          <w:sz w:val="22"/>
          <w:szCs w:val="22"/>
        </w:rPr>
        <w:t>resource</w:t>
      </w:r>
      <w:r w:rsidR="00E96496">
        <w:rPr>
          <w:sz w:val="22"/>
          <w:szCs w:val="22"/>
        </w:rPr>
        <w:t>s</w:t>
      </w:r>
      <w:r w:rsidR="00466026">
        <w:rPr>
          <w:sz w:val="22"/>
          <w:szCs w:val="22"/>
        </w:rPr>
        <w:t>)</w:t>
      </w:r>
      <w:r w:rsidR="00816ECB" w:rsidRPr="00EC1E98">
        <w:rPr>
          <w:sz w:val="22"/>
          <w:szCs w:val="22"/>
        </w:rPr>
        <w:t xml:space="preserve"> the</w:t>
      </w:r>
      <w:r w:rsidR="00EC1E98" w:rsidRPr="00EC1E98">
        <w:rPr>
          <w:sz w:val="22"/>
          <w:szCs w:val="22"/>
        </w:rPr>
        <w:t xml:space="preserve"> </w:t>
      </w:r>
      <w:r w:rsidR="00EC1E98">
        <w:rPr>
          <w:sz w:val="22"/>
          <w:szCs w:val="22"/>
        </w:rPr>
        <w:t xml:space="preserve">full </w:t>
      </w:r>
      <w:r>
        <w:rPr>
          <w:sz w:val="22"/>
          <w:szCs w:val="22"/>
        </w:rPr>
        <w:t xml:space="preserve">cost of items </w:t>
      </w:r>
      <w:r w:rsidR="00EC1E98" w:rsidRPr="00EC1E98">
        <w:rPr>
          <w:sz w:val="22"/>
          <w:szCs w:val="22"/>
        </w:rPr>
        <w:t>required by pupils with a specia</w:t>
      </w:r>
      <w:r w:rsidR="00466026">
        <w:rPr>
          <w:sz w:val="22"/>
          <w:szCs w:val="22"/>
        </w:rPr>
        <w:t>l educational need / disability</w:t>
      </w:r>
      <w:r w:rsidR="00F2080D">
        <w:rPr>
          <w:sz w:val="22"/>
          <w:szCs w:val="22"/>
        </w:rPr>
        <w:t xml:space="preserve"> </w:t>
      </w:r>
      <w:r w:rsidR="00EC1E98" w:rsidRPr="00EC1E98">
        <w:rPr>
          <w:sz w:val="22"/>
          <w:szCs w:val="22"/>
        </w:rPr>
        <w:t xml:space="preserve">where </w:t>
      </w:r>
      <w:r w:rsidR="00EC1E98">
        <w:rPr>
          <w:sz w:val="22"/>
          <w:szCs w:val="22"/>
        </w:rPr>
        <w:t>this</w:t>
      </w:r>
      <w:r w:rsidR="00466026">
        <w:rPr>
          <w:sz w:val="22"/>
          <w:szCs w:val="22"/>
        </w:rPr>
        <w:t xml:space="preserve"> cost is</w:t>
      </w:r>
      <w:r w:rsidR="00EC1E98" w:rsidRPr="00EC1E98">
        <w:rPr>
          <w:sz w:val="22"/>
          <w:szCs w:val="22"/>
        </w:rPr>
        <w:t xml:space="preserve"> </w:t>
      </w:r>
      <w:r w:rsidR="00AE40C0">
        <w:rPr>
          <w:sz w:val="22"/>
          <w:szCs w:val="22"/>
        </w:rPr>
        <w:t>lower</w:t>
      </w:r>
      <w:r w:rsidR="00466026">
        <w:rPr>
          <w:sz w:val="22"/>
          <w:szCs w:val="22"/>
        </w:rPr>
        <w:t xml:space="preserve"> than £1,000. T</w:t>
      </w:r>
      <w:r w:rsidR="00EC1E98" w:rsidRPr="00EC1E98">
        <w:rPr>
          <w:sz w:val="22"/>
          <w:szCs w:val="22"/>
        </w:rPr>
        <w:t xml:space="preserve">he SEND Panel </w:t>
      </w:r>
      <w:r w:rsidR="00466026">
        <w:rPr>
          <w:sz w:val="22"/>
          <w:szCs w:val="22"/>
        </w:rPr>
        <w:t>will typically assess that this is</w:t>
      </w:r>
      <w:r w:rsidR="00EC1E98" w:rsidRPr="00EC1E98">
        <w:rPr>
          <w:sz w:val="22"/>
          <w:szCs w:val="22"/>
        </w:rPr>
        <w:t xml:space="preserve"> a ‘reasonable’ cost for the school</w:t>
      </w:r>
      <w:r w:rsidR="00466026">
        <w:rPr>
          <w:sz w:val="22"/>
          <w:szCs w:val="22"/>
        </w:rPr>
        <w:t xml:space="preserve"> / provider</w:t>
      </w:r>
      <w:r w:rsidR="00EC1E98" w:rsidRPr="00EC1E98">
        <w:rPr>
          <w:sz w:val="22"/>
          <w:szCs w:val="22"/>
        </w:rPr>
        <w:t xml:space="preserve"> to meet.</w:t>
      </w:r>
      <w:r w:rsidR="00816ECB" w:rsidRPr="00EC1E98">
        <w:rPr>
          <w:sz w:val="22"/>
          <w:szCs w:val="22"/>
        </w:rPr>
        <w:t xml:space="preserve"> </w:t>
      </w:r>
      <w:r w:rsidR="00F2080D">
        <w:rPr>
          <w:sz w:val="22"/>
          <w:szCs w:val="22"/>
        </w:rPr>
        <w:t>T</w:t>
      </w:r>
      <w:r w:rsidR="00AE40C0">
        <w:rPr>
          <w:sz w:val="22"/>
          <w:szCs w:val="22"/>
        </w:rPr>
        <w:t>hese items</w:t>
      </w:r>
      <w:r w:rsidR="00F2080D">
        <w:rPr>
          <w:sz w:val="22"/>
          <w:szCs w:val="22"/>
        </w:rPr>
        <w:t xml:space="preserve"> tend to</w:t>
      </w:r>
      <w:r w:rsidR="00AE40C0">
        <w:rPr>
          <w:sz w:val="22"/>
          <w:szCs w:val="22"/>
        </w:rPr>
        <w:t xml:space="preserve"> remain with the school</w:t>
      </w:r>
      <w:r w:rsidR="00DA43F4">
        <w:rPr>
          <w:sz w:val="22"/>
          <w:szCs w:val="22"/>
        </w:rPr>
        <w:t xml:space="preserve"> / provider</w:t>
      </w:r>
      <w:r w:rsidR="00AE40C0">
        <w:rPr>
          <w:sz w:val="22"/>
          <w:szCs w:val="22"/>
        </w:rPr>
        <w:t xml:space="preserve"> and are transferrable</w:t>
      </w:r>
      <w:r w:rsidR="00E96496">
        <w:rPr>
          <w:sz w:val="22"/>
          <w:szCs w:val="22"/>
        </w:rPr>
        <w:t>.</w:t>
      </w:r>
    </w:p>
    <w:p w:rsidR="00466026" w:rsidRPr="007E7582" w:rsidRDefault="00466026" w:rsidP="00466026">
      <w:pPr>
        <w:pStyle w:val="ListParagraph"/>
        <w:jc w:val="both"/>
        <w:rPr>
          <w:sz w:val="22"/>
          <w:szCs w:val="22"/>
        </w:rPr>
      </w:pPr>
    </w:p>
    <w:p w:rsidR="00816ECB" w:rsidRDefault="007E7582" w:rsidP="00C15620">
      <w:pPr>
        <w:pStyle w:val="ListParagraph"/>
        <w:numPr>
          <w:ilvl w:val="0"/>
          <w:numId w:val="11"/>
        </w:numPr>
        <w:jc w:val="both"/>
        <w:rPr>
          <w:sz w:val="22"/>
          <w:szCs w:val="22"/>
        </w:rPr>
      </w:pPr>
      <w:r>
        <w:rPr>
          <w:sz w:val="22"/>
          <w:szCs w:val="22"/>
        </w:rPr>
        <w:t>Schools and other providers</w:t>
      </w:r>
      <w:r w:rsidR="00EC1E98">
        <w:rPr>
          <w:sz w:val="22"/>
          <w:szCs w:val="22"/>
        </w:rPr>
        <w:t xml:space="preserve"> </w:t>
      </w:r>
      <w:r>
        <w:rPr>
          <w:sz w:val="22"/>
          <w:szCs w:val="22"/>
        </w:rPr>
        <w:t xml:space="preserve">may request, via application to the SEND Panel, that the Local Authority meets the </w:t>
      </w:r>
      <w:r w:rsidR="00B63098">
        <w:rPr>
          <w:sz w:val="22"/>
          <w:szCs w:val="22"/>
        </w:rPr>
        <w:t xml:space="preserve">full </w:t>
      </w:r>
      <w:r>
        <w:rPr>
          <w:sz w:val="22"/>
          <w:szCs w:val="22"/>
        </w:rPr>
        <w:t xml:space="preserve">cost of the </w:t>
      </w:r>
      <w:r w:rsidR="00DA43F4">
        <w:rPr>
          <w:sz w:val="22"/>
          <w:szCs w:val="22"/>
        </w:rPr>
        <w:t xml:space="preserve">necessary specialist </w:t>
      </w:r>
      <w:r>
        <w:rPr>
          <w:sz w:val="22"/>
          <w:szCs w:val="22"/>
        </w:rPr>
        <w:t>equipment</w:t>
      </w:r>
      <w:r w:rsidR="00DA43F4">
        <w:rPr>
          <w:sz w:val="22"/>
          <w:szCs w:val="22"/>
        </w:rPr>
        <w:t>. The SEND Panel will typically assess that this is not a reasonable cost for the school to meet where the item</w:t>
      </w:r>
      <w:r w:rsidR="00EC1E98">
        <w:rPr>
          <w:sz w:val="22"/>
          <w:szCs w:val="22"/>
        </w:rPr>
        <w:t xml:space="preserve"> costs</w:t>
      </w:r>
      <w:r w:rsidR="00816ECB" w:rsidRPr="00EC1E98">
        <w:rPr>
          <w:sz w:val="22"/>
          <w:szCs w:val="22"/>
        </w:rPr>
        <w:t xml:space="preserve"> more than £1,000</w:t>
      </w:r>
      <w:r w:rsidR="000B3A27">
        <w:rPr>
          <w:sz w:val="22"/>
          <w:szCs w:val="22"/>
        </w:rPr>
        <w:t xml:space="preserve"> and</w:t>
      </w:r>
      <w:r w:rsidR="00DA43F4">
        <w:rPr>
          <w:sz w:val="22"/>
          <w:szCs w:val="22"/>
        </w:rPr>
        <w:t xml:space="preserve"> </w:t>
      </w:r>
      <w:r w:rsidR="00816ECB" w:rsidRPr="00EC1E98">
        <w:rPr>
          <w:sz w:val="22"/>
          <w:szCs w:val="22"/>
        </w:rPr>
        <w:t xml:space="preserve">is specialised / personalised to the child or young person and would travel </w:t>
      </w:r>
      <w:r w:rsidR="00AE40C0">
        <w:rPr>
          <w:sz w:val="22"/>
          <w:szCs w:val="22"/>
        </w:rPr>
        <w:t xml:space="preserve">with them </w:t>
      </w:r>
      <w:r w:rsidR="00816ECB" w:rsidRPr="00EC1E98">
        <w:rPr>
          <w:sz w:val="22"/>
          <w:szCs w:val="22"/>
        </w:rPr>
        <w:t>to their next setting</w:t>
      </w:r>
      <w:r w:rsidR="00DA43F4">
        <w:rPr>
          <w:sz w:val="22"/>
          <w:szCs w:val="22"/>
        </w:rPr>
        <w:t xml:space="preserve">. Where agreed, the full cost of the item is </w:t>
      </w:r>
      <w:r w:rsidR="00E96496">
        <w:rPr>
          <w:sz w:val="22"/>
          <w:szCs w:val="22"/>
        </w:rPr>
        <w:t>currently met centrally without</w:t>
      </w:r>
      <w:r w:rsidR="000B3A27">
        <w:rPr>
          <w:sz w:val="22"/>
          <w:szCs w:val="22"/>
        </w:rPr>
        <w:t xml:space="preserve"> </w:t>
      </w:r>
      <w:r w:rsidR="00DA43F4">
        <w:rPr>
          <w:sz w:val="22"/>
          <w:szCs w:val="22"/>
        </w:rPr>
        <w:t>contribution from the school or provider.</w:t>
      </w:r>
    </w:p>
    <w:p w:rsidR="00561335" w:rsidRDefault="00561335" w:rsidP="00561335">
      <w:pPr>
        <w:pStyle w:val="ListParagraph"/>
        <w:jc w:val="both"/>
        <w:rPr>
          <w:sz w:val="22"/>
          <w:szCs w:val="22"/>
        </w:rPr>
      </w:pPr>
    </w:p>
    <w:p w:rsidR="00AE40C0" w:rsidRDefault="00DA43F4" w:rsidP="00AE40C0">
      <w:pPr>
        <w:jc w:val="both"/>
        <w:rPr>
          <w:sz w:val="22"/>
          <w:szCs w:val="22"/>
        </w:rPr>
      </w:pPr>
      <w:r>
        <w:rPr>
          <w:sz w:val="22"/>
          <w:szCs w:val="22"/>
        </w:rPr>
        <w:t>9.4</w:t>
      </w:r>
      <w:r w:rsidR="00AE40C0">
        <w:rPr>
          <w:sz w:val="22"/>
          <w:szCs w:val="22"/>
        </w:rPr>
        <w:t xml:space="preserve"> This approach has been in place s</w:t>
      </w:r>
      <w:r w:rsidR="002928F1">
        <w:rPr>
          <w:sz w:val="22"/>
          <w:szCs w:val="22"/>
        </w:rPr>
        <w:t>ince 2012</w:t>
      </w:r>
      <w:r w:rsidR="00B63098">
        <w:rPr>
          <w:sz w:val="22"/>
          <w:szCs w:val="22"/>
        </w:rPr>
        <w:t>. There are some</w:t>
      </w:r>
      <w:r w:rsidR="000B3A27">
        <w:rPr>
          <w:sz w:val="22"/>
          <w:szCs w:val="22"/>
        </w:rPr>
        <w:t xml:space="preserve"> developing issues that the Council would</w:t>
      </w:r>
      <w:r w:rsidR="00AE40C0">
        <w:rPr>
          <w:sz w:val="22"/>
          <w:szCs w:val="22"/>
        </w:rPr>
        <w:t xml:space="preserve"> like to resolve</w:t>
      </w:r>
      <w:r w:rsidR="000B3A27">
        <w:rPr>
          <w:sz w:val="22"/>
          <w:szCs w:val="22"/>
        </w:rPr>
        <w:t xml:space="preserve"> by</w:t>
      </w:r>
      <w:r w:rsidR="00DD51B1">
        <w:rPr>
          <w:sz w:val="22"/>
          <w:szCs w:val="22"/>
        </w:rPr>
        <w:t xml:space="preserve"> proposing to</w:t>
      </w:r>
      <w:r w:rsidR="000B3A27">
        <w:rPr>
          <w:sz w:val="22"/>
          <w:szCs w:val="22"/>
        </w:rPr>
        <w:t xml:space="preserve"> </w:t>
      </w:r>
      <w:r w:rsidR="00DD51B1">
        <w:rPr>
          <w:sz w:val="22"/>
          <w:szCs w:val="22"/>
        </w:rPr>
        <w:t>adjust</w:t>
      </w:r>
      <w:r w:rsidR="00C83179">
        <w:rPr>
          <w:sz w:val="22"/>
          <w:szCs w:val="22"/>
        </w:rPr>
        <w:t xml:space="preserve"> the principles that guide our arrangement</w:t>
      </w:r>
      <w:r w:rsidR="000B3A27">
        <w:rPr>
          <w:sz w:val="22"/>
          <w:szCs w:val="22"/>
        </w:rPr>
        <w:t>s</w:t>
      </w:r>
      <w:r w:rsidR="00AE40C0">
        <w:rPr>
          <w:sz w:val="22"/>
          <w:szCs w:val="22"/>
        </w:rPr>
        <w:t>:</w:t>
      </w:r>
    </w:p>
    <w:p w:rsidR="00AE40C0" w:rsidRDefault="00AE40C0" w:rsidP="00AE40C0">
      <w:pPr>
        <w:jc w:val="both"/>
        <w:rPr>
          <w:sz w:val="22"/>
          <w:szCs w:val="22"/>
        </w:rPr>
      </w:pPr>
    </w:p>
    <w:p w:rsidR="007E7582" w:rsidRDefault="00C83179" w:rsidP="00C15620">
      <w:pPr>
        <w:pStyle w:val="ListParagraph"/>
        <w:numPr>
          <w:ilvl w:val="0"/>
          <w:numId w:val="14"/>
        </w:numPr>
        <w:jc w:val="both"/>
        <w:rPr>
          <w:sz w:val="22"/>
          <w:szCs w:val="22"/>
        </w:rPr>
      </w:pPr>
      <w:r>
        <w:rPr>
          <w:sz w:val="22"/>
          <w:szCs w:val="22"/>
        </w:rPr>
        <w:t>Firstly, the scope and terms</w:t>
      </w:r>
      <w:r w:rsidR="007E7582">
        <w:rPr>
          <w:sz w:val="22"/>
          <w:szCs w:val="22"/>
        </w:rPr>
        <w:t xml:space="preserve"> of </w:t>
      </w:r>
      <w:r>
        <w:rPr>
          <w:sz w:val="22"/>
          <w:szCs w:val="22"/>
        </w:rPr>
        <w:t>access</w:t>
      </w:r>
      <w:r w:rsidR="00DA43F4">
        <w:rPr>
          <w:sz w:val="22"/>
          <w:szCs w:val="22"/>
        </w:rPr>
        <w:t xml:space="preserve"> </w:t>
      </w:r>
      <w:r w:rsidR="007E7582">
        <w:rPr>
          <w:sz w:val="22"/>
          <w:szCs w:val="22"/>
        </w:rPr>
        <w:t>would benefit from clarification.</w:t>
      </w:r>
      <w:r>
        <w:rPr>
          <w:sz w:val="22"/>
          <w:szCs w:val="22"/>
        </w:rPr>
        <w:t xml:space="preserve"> This will</w:t>
      </w:r>
      <w:r w:rsidR="00B72540">
        <w:rPr>
          <w:sz w:val="22"/>
          <w:szCs w:val="22"/>
        </w:rPr>
        <w:t xml:space="preserve"> be done more thoroughly in</w:t>
      </w:r>
      <w:r>
        <w:rPr>
          <w:sz w:val="22"/>
          <w:szCs w:val="22"/>
        </w:rPr>
        <w:t xml:space="preserve"> more detailed guidance following the outcomes of this </w:t>
      </w:r>
      <w:r w:rsidR="000B3A27">
        <w:rPr>
          <w:sz w:val="22"/>
          <w:szCs w:val="22"/>
        </w:rPr>
        <w:t>consultation but the scope of access for providers is clarified in the paragraphs below.</w:t>
      </w:r>
    </w:p>
    <w:p w:rsidR="007E7582" w:rsidRDefault="007E7582" w:rsidP="007E7582">
      <w:pPr>
        <w:pStyle w:val="ListParagraph"/>
        <w:jc w:val="both"/>
        <w:rPr>
          <w:sz w:val="22"/>
          <w:szCs w:val="22"/>
        </w:rPr>
      </w:pPr>
    </w:p>
    <w:p w:rsidR="00AE40C0" w:rsidRDefault="007E7582" w:rsidP="00C15620">
      <w:pPr>
        <w:pStyle w:val="ListParagraph"/>
        <w:numPr>
          <w:ilvl w:val="0"/>
          <w:numId w:val="14"/>
        </w:numPr>
        <w:jc w:val="both"/>
        <w:rPr>
          <w:sz w:val="22"/>
          <w:szCs w:val="22"/>
        </w:rPr>
      </w:pPr>
      <w:r>
        <w:rPr>
          <w:sz w:val="22"/>
          <w:szCs w:val="22"/>
        </w:rPr>
        <w:t>Secondly</w:t>
      </w:r>
      <w:r w:rsidR="00AE40C0">
        <w:rPr>
          <w:sz w:val="22"/>
          <w:szCs w:val="22"/>
        </w:rPr>
        <w:t>, special schools current</w:t>
      </w:r>
      <w:r w:rsidR="00B63098">
        <w:rPr>
          <w:sz w:val="22"/>
          <w:szCs w:val="22"/>
        </w:rPr>
        <w:t>ly do not</w:t>
      </w:r>
      <w:r w:rsidR="000B3A27">
        <w:rPr>
          <w:sz w:val="22"/>
          <w:szCs w:val="22"/>
        </w:rPr>
        <w:t xml:space="preserve"> access </w:t>
      </w:r>
      <w:r w:rsidR="00B63098">
        <w:rPr>
          <w:sz w:val="22"/>
          <w:szCs w:val="22"/>
        </w:rPr>
        <w:t>financial support</w:t>
      </w:r>
      <w:r w:rsidR="00AE40C0">
        <w:rPr>
          <w:sz w:val="22"/>
          <w:szCs w:val="22"/>
        </w:rPr>
        <w:t xml:space="preserve">. </w:t>
      </w:r>
      <w:r w:rsidR="000B3A27">
        <w:rPr>
          <w:sz w:val="22"/>
          <w:szCs w:val="22"/>
        </w:rPr>
        <w:t>This is because, p</w:t>
      </w:r>
      <w:r w:rsidR="00AE40C0">
        <w:rPr>
          <w:sz w:val="22"/>
          <w:szCs w:val="22"/>
        </w:rPr>
        <w:t>reviously, special schools have had access to a discrete specialist equipment budget, funded within the High Needs Block, agreed by the Schools Forum and managed by the District Achieve</w:t>
      </w:r>
      <w:r w:rsidR="00B00D63">
        <w:rPr>
          <w:sz w:val="22"/>
          <w:szCs w:val="22"/>
        </w:rPr>
        <w:t>ment</w:t>
      </w:r>
      <w:r w:rsidR="00AE40C0">
        <w:rPr>
          <w:sz w:val="22"/>
          <w:szCs w:val="22"/>
        </w:rPr>
        <w:t xml:space="preserve"> Partnership. This was</w:t>
      </w:r>
      <w:r w:rsidR="00B00D63">
        <w:rPr>
          <w:sz w:val="22"/>
          <w:szCs w:val="22"/>
        </w:rPr>
        <w:t xml:space="preserve"> originally</w:t>
      </w:r>
      <w:r w:rsidR="00AE40C0">
        <w:rPr>
          <w:sz w:val="22"/>
          <w:szCs w:val="22"/>
        </w:rPr>
        <w:t xml:space="preserve"> £150,000, </w:t>
      </w:r>
      <w:r w:rsidR="00977313">
        <w:rPr>
          <w:sz w:val="22"/>
          <w:szCs w:val="22"/>
        </w:rPr>
        <w:t xml:space="preserve">but </w:t>
      </w:r>
      <w:r w:rsidR="00AE40C0">
        <w:rPr>
          <w:sz w:val="22"/>
          <w:szCs w:val="22"/>
        </w:rPr>
        <w:t>was reduced to £75,000 and was</w:t>
      </w:r>
      <w:r w:rsidR="00B00D63">
        <w:rPr>
          <w:sz w:val="22"/>
          <w:szCs w:val="22"/>
        </w:rPr>
        <w:t xml:space="preserve"> then</w:t>
      </w:r>
      <w:r w:rsidR="00AE40C0">
        <w:rPr>
          <w:sz w:val="22"/>
          <w:szCs w:val="22"/>
        </w:rPr>
        <w:t xml:space="preserve"> ceased at April 2018 as one of the contributions that s</w:t>
      </w:r>
      <w:r w:rsidR="00B00D63">
        <w:rPr>
          <w:sz w:val="22"/>
          <w:szCs w:val="22"/>
        </w:rPr>
        <w:t>pecial schools agreed to make in</w:t>
      </w:r>
      <w:r w:rsidR="00AE40C0">
        <w:rPr>
          <w:sz w:val="22"/>
          <w:szCs w:val="22"/>
        </w:rPr>
        <w:t xml:space="preserve"> the </w:t>
      </w:r>
      <w:r w:rsidR="00B00D63">
        <w:rPr>
          <w:sz w:val="22"/>
          <w:szCs w:val="22"/>
        </w:rPr>
        <w:t>management of</w:t>
      </w:r>
      <w:r w:rsidR="00AE40C0">
        <w:rPr>
          <w:sz w:val="22"/>
          <w:szCs w:val="22"/>
        </w:rPr>
        <w:t xml:space="preserve"> overall High N</w:t>
      </w:r>
      <w:r w:rsidR="00977313">
        <w:rPr>
          <w:sz w:val="22"/>
          <w:szCs w:val="22"/>
        </w:rPr>
        <w:t>eeds Block financial pressure.</w:t>
      </w:r>
      <w:r w:rsidR="004C7540">
        <w:rPr>
          <w:sz w:val="22"/>
          <w:szCs w:val="22"/>
        </w:rPr>
        <w:t xml:space="preserve"> S</w:t>
      </w:r>
      <w:r w:rsidR="00860D84">
        <w:rPr>
          <w:sz w:val="22"/>
          <w:szCs w:val="22"/>
        </w:rPr>
        <w:t>upport</w:t>
      </w:r>
      <w:r w:rsidR="004C7540">
        <w:rPr>
          <w:sz w:val="22"/>
          <w:szCs w:val="22"/>
        </w:rPr>
        <w:t xml:space="preserve"> for the cost of equipment</w:t>
      </w:r>
      <w:r w:rsidR="00860D84">
        <w:rPr>
          <w:sz w:val="22"/>
          <w:szCs w:val="22"/>
        </w:rPr>
        <w:t xml:space="preserve"> </w:t>
      </w:r>
      <w:r w:rsidR="00A622D9">
        <w:rPr>
          <w:sz w:val="22"/>
          <w:szCs w:val="22"/>
        </w:rPr>
        <w:t>should now be</w:t>
      </w:r>
      <w:r w:rsidR="000F1840">
        <w:rPr>
          <w:sz w:val="22"/>
          <w:szCs w:val="22"/>
        </w:rPr>
        <w:t xml:space="preserve"> re-instated</w:t>
      </w:r>
      <w:r w:rsidR="00860D84">
        <w:rPr>
          <w:sz w:val="22"/>
          <w:szCs w:val="22"/>
        </w:rPr>
        <w:t xml:space="preserve"> in a fair and equitable manner.</w:t>
      </w:r>
    </w:p>
    <w:p w:rsidR="00AE40C0" w:rsidRDefault="00AE40C0" w:rsidP="00AE40C0">
      <w:pPr>
        <w:pStyle w:val="ListParagraph"/>
        <w:jc w:val="both"/>
        <w:rPr>
          <w:sz w:val="22"/>
          <w:szCs w:val="22"/>
        </w:rPr>
      </w:pPr>
    </w:p>
    <w:p w:rsidR="00AE40C0" w:rsidRPr="00AE40C0" w:rsidRDefault="007E7582" w:rsidP="00C15620">
      <w:pPr>
        <w:pStyle w:val="ListParagraph"/>
        <w:numPr>
          <w:ilvl w:val="0"/>
          <w:numId w:val="14"/>
        </w:numPr>
        <w:jc w:val="both"/>
        <w:rPr>
          <w:sz w:val="22"/>
          <w:szCs w:val="22"/>
        </w:rPr>
      </w:pPr>
      <w:r>
        <w:rPr>
          <w:sz w:val="22"/>
          <w:szCs w:val="22"/>
        </w:rPr>
        <w:t>Thirdly</w:t>
      </w:r>
      <w:r w:rsidR="00B00D63">
        <w:rPr>
          <w:sz w:val="22"/>
          <w:szCs w:val="22"/>
        </w:rPr>
        <w:t>, an approach th</w:t>
      </w:r>
      <w:r w:rsidR="00DA43F4">
        <w:rPr>
          <w:sz w:val="22"/>
          <w:szCs w:val="22"/>
        </w:rPr>
        <w:t>at sets a hard £1,000 threshold</w:t>
      </w:r>
      <w:r w:rsidR="00B00D63">
        <w:rPr>
          <w:sz w:val="22"/>
          <w:szCs w:val="22"/>
        </w:rPr>
        <w:t xml:space="preserve"> produces a ‘cli</w:t>
      </w:r>
      <w:r w:rsidR="002F3843">
        <w:rPr>
          <w:sz w:val="22"/>
          <w:szCs w:val="22"/>
        </w:rPr>
        <w:t>ff-face’</w:t>
      </w:r>
      <w:r w:rsidR="00B00D63">
        <w:rPr>
          <w:sz w:val="22"/>
          <w:szCs w:val="22"/>
        </w:rPr>
        <w:t>. As an illustration, a school would be required to</w:t>
      </w:r>
      <w:r w:rsidR="00DA43F4">
        <w:rPr>
          <w:sz w:val="22"/>
          <w:szCs w:val="22"/>
        </w:rPr>
        <w:t xml:space="preserve"> cover</w:t>
      </w:r>
      <w:r w:rsidR="00B00D63">
        <w:rPr>
          <w:sz w:val="22"/>
          <w:szCs w:val="22"/>
        </w:rPr>
        <w:t xml:space="preserve"> in full</w:t>
      </w:r>
      <w:r w:rsidR="00DA43F4">
        <w:rPr>
          <w:sz w:val="22"/>
          <w:szCs w:val="22"/>
        </w:rPr>
        <w:t xml:space="preserve"> an item with a cost of</w:t>
      </w:r>
      <w:r w:rsidR="00B00D63">
        <w:rPr>
          <w:sz w:val="22"/>
          <w:szCs w:val="22"/>
        </w:rPr>
        <w:t xml:space="preserve"> £900</w:t>
      </w:r>
      <w:r w:rsidR="00DA43F4">
        <w:rPr>
          <w:sz w:val="22"/>
          <w:szCs w:val="22"/>
        </w:rPr>
        <w:t xml:space="preserve"> </w:t>
      </w:r>
      <w:r w:rsidR="00B00D63">
        <w:rPr>
          <w:sz w:val="22"/>
          <w:szCs w:val="22"/>
        </w:rPr>
        <w:t>but would not pay anything for an item costing £1,100.</w:t>
      </w:r>
      <w:r w:rsidR="00DA43F4">
        <w:rPr>
          <w:sz w:val="22"/>
          <w:szCs w:val="22"/>
        </w:rPr>
        <w:t xml:space="preserve"> This </w:t>
      </w:r>
      <w:r w:rsidR="00B63098">
        <w:rPr>
          <w:sz w:val="22"/>
          <w:szCs w:val="22"/>
        </w:rPr>
        <w:t xml:space="preserve">hard approach </w:t>
      </w:r>
      <w:r w:rsidR="00DA43F4">
        <w:rPr>
          <w:sz w:val="22"/>
          <w:szCs w:val="22"/>
        </w:rPr>
        <w:t>is out of ste</w:t>
      </w:r>
      <w:r w:rsidR="00977313">
        <w:rPr>
          <w:sz w:val="22"/>
          <w:szCs w:val="22"/>
        </w:rPr>
        <w:t xml:space="preserve">p </w:t>
      </w:r>
      <w:r w:rsidR="00B63098">
        <w:rPr>
          <w:sz w:val="22"/>
          <w:szCs w:val="22"/>
        </w:rPr>
        <w:t xml:space="preserve">with </w:t>
      </w:r>
      <w:r w:rsidR="00977313">
        <w:rPr>
          <w:sz w:val="22"/>
          <w:szCs w:val="22"/>
        </w:rPr>
        <w:t>tha</w:t>
      </w:r>
      <w:r w:rsidR="00B63098">
        <w:rPr>
          <w:sz w:val="22"/>
          <w:szCs w:val="22"/>
        </w:rPr>
        <w:t>t</w:t>
      </w:r>
      <w:r w:rsidR="00977313">
        <w:rPr>
          <w:sz w:val="22"/>
          <w:szCs w:val="22"/>
        </w:rPr>
        <w:t xml:space="preserve"> </w:t>
      </w:r>
      <w:r w:rsidR="00DA43F4">
        <w:rPr>
          <w:sz w:val="22"/>
          <w:szCs w:val="22"/>
        </w:rPr>
        <w:t>taken in other authorities, where schools are</w:t>
      </w:r>
      <w:r w:rsidR="00B63098">
        <w:rPr>
          <w:sz w:val="22"/>
          <w:szCs w:val="22"/>
        </w:rPr>
        <w:t xml:space="preserve"> typically asked to make </w:t>
      </w:r>
      <w:r w:rsidR="00DD51B1">
        <w:rPr>
          <w:sz w:val="22"/>
          <w:szCs w:val="22"/>
        </w:rPr>
        <w:t>a</w:t>
      </w:r>
      <w:r w:rsidR="002F3843">
        <w:rPr>
          <w:sz w:val="22"/>
          <w:szCs w:val="22"/>
        </w:rPr>
        <w:t xml:space="preserve"> set</w:t>
      </w:r>
      <w:r w:rsidR="00B63098">
        <w:rPr>
          <w:sz w:val="22"/>
          <w:szCs w:val="22"/>
        </w:rPr>
        <w:t xml:space="preserve"> </w:t>
      </w:r>
      <w:r w:rsidR="00DA43F4">
        <w:rPr>
          <w:sz w:val="22"/>
          <w:szCs w:val="22"/>
        </w:rPr>
        <w:t>contribution to the cost of all equipment</w:t>
      </w:r>
      <w:r w:rsidR="002F3843">
        <w:rPr>
          <w:sz w:val="22"/>
          <w:szCs w:val="22"/>
        </w:rPr>
        <w:t xml:space="preserve"> no matter the value</w:t>
      </w:r>
      <w:r w:rsidR="00DA43F4">
        <w:rPr>
          <w:sz w:val="22"/>
          <w:szCs w:val="22"/>
        </w:rPr>
        <w:t>.</w:t>
      </w:r>
    </w:p>
    <w:p w:rsidR="00AE40C0" w:rsidRDefault="00AE40C0" w:rsidP="00AE40C0">
      <w:pPr>
        <w:jc w:val="both"/>
        <w:rPr>
          <w:sz w:val="22"/>
          <w:szCs w:val="22"/>
        </w:rPr>
      </w:pPr>
    </w:p>
    <w:p w:rsidR="00816ECB" w:rsidRPr="00DD51B1" w:rsidRDefault="00DA43F4" w:rsidP="00533684">
      <w:pPr>
        <w:jc w:val="both"/>
        <w:rPr>
          <w:sz w:val="22"/>
          <w:szCs w:val="22"/>
        </w:rPr>
      </w:pPr>
      <w:r w:rsidRPr="00DD51B1">
        <w:rPr>
          <w:sz w:val="22"/>
          <w:szCs w:val="22"/>
        </w:rPr>
        <w:t xml:space="preserve">9.5 </w:t>
      </w:r>
      <w:r w:rsidR="00C83179" w:rsidRPr="00DD51B1">
        <w:rPr>
          <w:sz w:val="22"/>
          <w:szCs w:val="22"/>
        </w:rPr>
        <w:t>In response, we wish to clarify</w:t>
      </w:r>
      <w:r w:rsidR="00977313" w:rsidRPr="00DD51B1">
        <w:rPr>
          <w:sz w:val="22"/>
          <w:szCs w:val="22"/>
        </w:rPr>
        <w:t xml:space="preserve"> and propose</w:t>
      </w:r>
      <w:r w:rsidR="00C83179" w:rsidRPr="00DD51B1">
        <w:rPr>
          <w:sz w:val="22"/>
          <w:szCs w:val="22"/>
        </w:rPr>
        <w:t xml:space="preserve"> that access to financial support for the cost of specialist equipment applies</w:t>
      </w:r>
      <w:r w:rsidR="00977313" w:rsidRPr="00DD51B1">
        <w:rPr>
          <w:sz w:val="22"/>
          <w:szCs w:val="22"/>
        </w:rPr>
        <w:t xml:space="preserve"> for 1 April 2020</w:t>
      </w:r>
      <w:r w:rsidR="00C83179" w:rsidRPr="00DD51B1">
        <w:rPr>
          <w:sz w:val="22"/>
          <w:szCs w:val="22"/>
        </w:rPr>
        <w:t xml:space="preserve"> to all children and young people</w:t>
      </w:r>
      <w:r w:rsidR="00AD7FAF">
        <w:rPr>
          <w:sz w:val="22"/>
          <w:szCs w:val="22"/>
        </w:rPr>
        <w:t xml:space="preserve"> with EHCPs</w:t>
      </w:r>
      <w:r w:rsidR="00C83179" w:rsidRPr="00DD51B1">
        <w:rPr>
          <w:sz w:val="22"/>
          <w:szCs w:val="22"/>
        </w:rPr>
        <w:t xml:space="preserve"> whose home address is within Bradford and who attend the following:</w:t>
      </w:r>
    </w:p>
    <w:p w:rsidR="00C83179" w:rsidRDefault="00C83179" w:rsidP="00533684">
      <w:pPr>
        <w:jc w:val="both"/>
        <w:rPr>
          <w:color w:val="FF0000"/>
          <w:sz w:val="22"/>
          <w:szCs w:val="22"/>
        </w:rPr>
      </w:pPr>
    </w:p>
    <w:p w:rsidR="00C83179" w:rsidRPr="00DD51B1" w:rsidRDefault="00C83179" w:rsidP="00C15620">
      <w:pPr>
        <w:pStyle w:val="ListParagraph"/>
        <w:numPr>
          <w:ilvl w:val="0"/>
          <w:numId w:val="15"/>
        </w:numPr>
        <w:jc w:val="both"/>
        <w:rPr>
          <w:sz w:val="22"/>
          <w:szCs w:val="22"/>
        </w:rPr>
      </w:pPr>
      <w:r w:rsidRPr="00DD51B1">
        <w:rPr>
          <w:sz w:val="22"/>
          <w:szCs w:val="22"/>
        </w:rPr>
        <w:t>Mainstream schools – primary and secondary</w:t>
      </w:r>
    </w:p>
    <w:p w:rsidR="00C83179" w:rsidRPr="00DD51B1" w:rsidRDefault="00C83179" w:rsidP="00C15620">
      <w:pPr>
        <w:pStyle w:val="ListParagraph"/>
        <w:numPr>
          <w:ilvl w:val="0"/>
          <w:numId w:val="15"/>
        </w:numPr>
        <w:jc w:val="both"/>
        <w:rPr>
          <w:sz w:val="22"/>
          <w:szCs w:val="22"/>
        </w:rPr>
      </w:pPr>
      <w:r w:rsidRPr="00DD51B1">
        <w:rPr>
          <w:sz w:val="22"/>
          <w:szCs w:val="22"/>
        </w:rPr>
        <w:t>Academies – primary, secondary, special and alternative provision</w:t>
      </w:r>
    </w:p>
    <w:p w:rsidR="00C83179" w:rsidRPr="00DD51B1" w:rsidRDefault="00C83179" w:rsidP="00C15620">
      <w:pPr>
        <w:pStyle w:val="ListParagraph"/>
        <w:numPr>
          <w:ilvl w:val="0"/>
          <w:numId w:val="15"/>
        </w:numPr>
        <w:jc w:val="both"/>
        <w:rPr>
          <w:sz w:val="22"/>
          <w:szCs w:val="22"/>
        </w:rPr>
      </w:pPr>
      <w:r w:rsidRPr="00DD51B1">
        <w:rPr>
          <w:sz w:val="22"/>
          <w:szCs w:val="22"/>
        </w:rPr>
        <w:t>Special schools – maintained, non-maintained and independent</w:t>
      </w:r>
    </w:p>
    <w:p w:rsidR="00C83179" w:rsidRPr="00DD51B1" w:rsidRDefault="00C83179" w:rsidP="00C15620">
      <w:pPr>
        <w:pStyle w:val="ListParagraph"/>
        <w:numPr>
          <w:ilvl w:val="0"/>
          <w:numId w:val="15"/>
        </w:numPr>
        <w:jc w:val="both"/>
        <w:rPr>
          <w:sz w:val="22"/>
          <w:szCs w:val="22"/>
        </w:rPr>
      </w:pPr>
      <w:r w:rsidRPr="00DD51B1">
        <w:rPr>
          <w:sz w:val="22"/>
          <w:szCs w:val="22"/>
        </w:rPr>
        <w:t>Primary and secondary free schools</w:t>
      </w:r>
    </w:p>
    <w:p w:rsidR="00C83179" w:rsidRPr="00DD51B1" w:rsidRDefault="00C83179" w:rsidP="00C15620">
      <w:pPr>
        <w:pStyle w:val="ListParagraph"/>
        <w:numPr>
          <w:ilvl w:val="0"/>
          <w:numId w:val="15"/>
        </w:numPr>
        <w:jc w:val="both"/>
        <w:rPr>
          <w:sz w:val="22"/>
          <w:szCs w:val="22"/>
        </w:rPr>
      </w:pPr>
      <w:r w:rsidRPr="00DD51B1">
        <w:rPr>
          <w:sz w:val="22"/>
          <w:szCs w:val="22"/>
        </w:rPr>
        <w:t>FE Colleges</w:t>
      </w:r>
    </w:p>
    <w:p w:rsidR="00C83179" w:rsidRPr="00DD51B1" w:rsidRDefault="00C83179" w:rsidP="00C15620">
      <w:pPr>
        <w:pStyle w:val="ListParagraph"/>
        <w:numPr>
          <w:ilvl w:val="0"/>
          <w:numId w:val="15"/>
        </w:numPr>
        <w:jc w:val="both"/>
        <w:rPr>
          <w:sz w:val="22"/>
          <w:szCs w:val="22"/>
        </w:rPr>
      </w:pPr>
      <w:r w:rsidRPr="00DD51B1">
        <w:rPr>
          <w:sz w:val="22"/>
          <w:szCs w:val="22"/>
        </w:rPr>
        <w:t>Early Years settings provided by the Local Authority – maintained, non-maintained, independent</w:t>
      </w:r>
    </w:p>
    <w:p w:rsidR="00C83179" w:rsidRPr="00DD51B1" w:rsidRDefault="00C83179" w:rsidP="00C15620">
      <w:pPr>
        <w:pStyle w:val="ListParagraph"/>
        <w:numPr>
          <w:ilvl w:val="0"/>
          <w:numId w:val="15"/>
        </w:numPr>
        <w:jc w:val="both"/>
        <w:rPr>
          <w:sz w:val="22"/>
          <w:szCs w:val="22"/>
        </w:rPr>
      </w:pPr>
      <w:r w:rsidRPr="00DD51B1">
        <w:rPr>
          <w:sz w:val="22"/>
          <w:szCs w:val="22"/>
        </w:rPr>
        <w:t>Independent primary and secondary schools</w:t>
      </w:r>
    </w:p>
    <w:p w:rsidR="00C83179" w:rsidRPr="00DD51B1" w:rsidRDefault="00C83179" w:rsidP="00C15620">
      <w:pPr>
        <w:pStyle w:val="ListParagraph"/>
        <w:numPr>
          <w:ilvl w:val="0"/>
          <w:numId w:val="15"/>
        </w:numPr>
        <w:jc w:val="both"/>
        <w:rPr>
          <w:sz w:val="22"/>
          <w:szCs w:val="22"/>
        </w:rPr>
      </w:pPr>
      <w:r w:rsidRPr="00DD51B1">
        <w:rPr>
          <w:sz w:val="22"/>
          <w:szCs w:val="22"/>
        </w:rPr>
        <w:t>PRUs</w:t>
      </w:r>
    </w:p>
    <w:p w:rsidR="00A622D9" w:rsidRDefault="00A622D9" w:rsidP="00C83179">
      <w:pPr>
        <w:jc w:val="both"/>
        <w:rPr>
          <w:sz w:val="22"/>
          <w:szCs w:val="22"/>
        </w:rPr>
      </w:pPr>
    </w:p>
    <w:p w:rsidR="00977313" w:rsidRPr="00DD51B1" w:rsidRDefault="00977313" w:rsidP="00C83179">
      <w:pPr>
        <w:jc w:val="both"/>
        <w:rPr>
          <w:sz w:val="22"/>
          <w:szCs w:val="22"/>
        </w:rPr>
      </w:pPr>
      <w:r w:rsidRPr="00DD51B1">
        <w:rPr>
          <w:sz w:val="22"/>
          <w:szCs w:val="22"/>
        </w:rPr>
        <w:t xml:space="preserve">Therefore, </w:t>
      </w:r>
      <w:r w:rsidR="0056473A">
        <w:rPr>
          <w:sz w:val="22"/>
          <w:szCs w:val="22"/>
        </w:rPr>
        <w:t>our arrangement i</w:t>
      </w:r>
      <w:r w:rsidRPr="00DD51B1">
        <w:rPr>
          <w:sz w:val="22"/>
          <w:szCs w:val="22"/>
        </w:rPr>
        <w:t>s extended to include maintained special schools and special school academies.</w:t>
      </w:r>
    </w:p>
    <w:p w:rsidR="00977313" w:rsidRDefault="00977313" w:rsidP="00C83179">
      <w:pPr>
        <w:jc w:val="both"/>
        <w:rPr>
          <w:color w:val="FF0000"/>
          <w:sz w:val="22"/>
          <w:szCs w:val="22"/>
        </w:rPr>
      </w:pPr>
    </w:p>
    <w:p w:rsidR="00C83179" w:rsidRPr="00DD51B1" w:rsidRDefault="00977313" w:rsidP="00C83179">
      <w:pPr>
        <w:jc w:val="both"/>
        <w:rPr>
          <w:sz w:val="22"/>
          <w:szCs w:val="22"/>
        </w:rPr>
      </w:pPr>
      <w:r w:rsidRPr="00DD51B1">
        <w:rPr>
          <w:sz w:val="22"/>
          <w:szCs w:val="22"/>
        </w:rPr>
        <w:t>For clarity, i</w:t>
      </w:r>
      <w:r w:rsidR="00C83179" w:rsidRPr="00DD51B1">
        <w:rPr>
          <w:sz w:val="22"/>
          <w:szCs w:val="22"/>
        </w:rPr>
        <w:t>f a child or young person does not reside within the geographic boundary of Bradford the school should request funding for specialist equipment from the home authority. Corresponding</w:t>
      </w:r>
      <w:r w:rsidR="00DD51B1" w:rsidRPr="00DD51B1">
        <w:rPr>
          <w:sz w:val="22"/>
          <w:szCs w:val="22"/>
        </w:rPr>
        <w:t>ly, Bradford Council</w:t>
      </w:r>
      <w:r w:rsidR="00C83179" w:rsidRPr="00DD51B1">
        <w:rPr>
          <w:sz w:val="22"/>
          <w:szCs w:val="22"/>
        </w:rPr>
        <w:t xml:space="preserve"> will fund specialist equipment for Bradford children and young people who are attending </w:t>
      </w:r>
      <w:r w:rsidR="00DD51B1" w:rsidRPr="00DD51B1">
        <w:rPr>
          <w:sz w:val="22"/>
          <w:szCs w:val="22"/>
        </w:rPr>
        <w:t>a school outside of Bradford</w:t>
      </w:r>
      <w:r w:rsidR="00C83179" w:rsidRPr="00DD51B1">
        <w:rPr>
          <w:sz w:val="22"/>
          <w:szCs w:val="22"/>
        </w:rPr>
        <w:t xml:space="preserve"> where the request meets the requirements of our guidance. Out of authority schools will be expecte</w:t>
      </w:r>
      <w:r w:rsidR="00DD51B1" w:rsidRPr="00DD51B1">
        <w:rPr>
          <w:sz w:val="22"/>
          <w:szCs w:val="22"/>
        </w:rPr>
        <w:t>d to make the same contribution</w:t>
      </w:r>
      <w:r w:rsidR="00C83179" w:rsidRPr="00DD51B1">
        <w:rPr>
          <w:sz w:val="22"/>
          <w:szCs w:val="22"/>
        </w:rPr>
        <w:t xml:space="preserve"> to the cost as Bradford located schools</w:t>
      </w:r>
      <w:r w:rsidR="00DD51B1" w:rsidRPr="00DD51B1">
        <w:rPr>
          <w:sz w:val="22"/>
          <w:szCs w:val="22"/>
        </w:rPr>
        <w:t xml:space="preserve"> (see below)</w:t>
      </w:r>
      <w:r w:rsidR="00C83179" w:rsidRPr="00DD51B1">
        <w:rPr>
          <w:sz w:val="22"/>
          <w:szCs w:val="22"/>
        </w:rPr>
        <w:t>.</w:t>
      </w:r>
    </w:p>
    <w:p w:rsidR="00DA43F4" w:rsidRPr="00DD51B1" w:rsidRDefault="00DA43F4" w:rsidP="00533684">
      <w:pPr>
        <w:jc w:val="both"/>
        <w:rPr>
          <w:sz w:val="22"/>
          <w:szCs w:val="22"/>
        </w:rPr>
      </w:pPr>
    </w:p>
    <w:p w:rsidR="00524317" w:rsidRDefault="00977313" w:rsidP="00533684">
      <w:pPr>
        <w:jc w:val="both"/>
        <w:rPr>
          <w:sz w:val="22"/>
          <w:szCs w:val="22"/>
        </w:rPr>
      </w:pPr>
      <w:r w:rsidRPr="00DD51B1">
        <w:rPr>
          <w:sz w:val="22"/>
          <w:szCs w:val="22"/>
        </w:rPr>
        <w:t>9.6 Also in response, we propose to move from 1 April 2020 to a contributory rather than a</w:t>
      </w:r>
      <w:r w:rsidR="00DD51B1" w:rsidRPr="00DD51B1">
        <w:rPr>
          <w:sz w:val="22"/>
          <w:szCs w:val="22"/>
        </w:rPr>
        <w:t xml:space="preserve"> hard</w:t>
      </w:r>
      <w:r w:rsidRPr="00DD51B1">
        <w:rPr>
          <w:sz w:val="22"/>
          <w:szCs w:val="22"/>
        </w:rPr>
        <w:t xml:space="preserve"> threshold arrangement, where all schools and other providers will be required to </w:t>
      </w:r>
      <w:r w:rsidR="0056473A">
        <w:rPr>
          <w:sz w:val="22"/>
          <w:szCs w:val="22"/>
        </w:rPr>
        <w:t>meet the first £1,000 of</w:t>
      </w:r>
      <w:r w:rsidRPr="00DD51B1">
        <w:rPr>
          <w:sz w:val="22"/>
          <w:szCs w:val="22"/>
        </w:rPr>
        <w:t xml:space="preserve"> the cost of all equipment. Specifically,</w:t>
      </w:r>
      <w:r w:rsidR="00DD51B1" w:rsidRPr="00DD51B1">
        <w:rPr>
          <w:sz w:val="22"/>
          <w:szCs w:val="22"/>
        </w:rPr>
        <w:t xml:space="preserve"> in terms of change,</w:t>
      </w:r>
      <w:r w:rsidRPr="00DD51B1">
        <w:rPr>
          <w:sz w:val="22"/>
          <w:szCs w:val="22"/>
        </w:rPr>
        <w:t xml:space="preserve"> this proposal means that schools and providers will be required to </w:t>
      </w:r>
      <w:r w:rsidR="00DD51B1" w:rsidRPr="00DD51B1">
        <w:rPr>
          <w:sz w:val="22"/>
          <w:szCs w:val="22"/>
        </w:rPr>
        <w:t>contribute £1,000 to</w:t>
      </w:r>
      <w:r w:rsidRPr="00DD51B1">
        <w:rPr>
          <w:sz w:val="22"/>
          <w:szCs w:val="22"/>
        </w:rPr>
        <w:t xml:space="preserve"> items</w:t>
      </w:r>
      <w:r w:rsidR="00DD51B1" w:rsidRPr="00DD51B1">
        <w:rPr>
          <w:sz w:val="22"/>
          <w:szCs w:val="22"/>
        </w:rPr>
        <w:t xml:space="preserve"> costing more than £1,000</w:t>
      </w:r>
      <w:r w:rsidR="0056473A">
        <w:rPr>
          <w:sz w:val="22"/>
          <w:szCs w:val="22"/>
        </w:rPr>
        <w:t xml:space="preserve"> where p</w:t>
      </w:r>
      <w:r w:rsidR="00DD51B1" w:rsidRPr="00DD51B1">
        <w:rPr>
          <w:sz w:val="22"/>
          <w:szCs w:val="22"/>
        </w:rPr>
        <w:t xml:space="preserve">reviously schools would not have contributed to these items. </w:t>
      </w:r>
    </w:p>
    <w:p w:rsidR="00524317" w:rsidRDefault="00524317" w:rsidP="00533684">
      <w:pPr>
        <w:jc w:val="both"/>
        <w:rPr>
          <w:sz w:val="22"/>
          <w:szCs w:val="22"/>
        </w:rPr>
      </w:pPr>
    </w:p>
    <w:p w:rsidR="00DA43F4" w:rsidRPr="00DD51B1" w:rsidRDefault="00524317" w:rsidP="00533684">
      <w:pPr>
        <w:jc w:val="both"/>
        <w:rPr>
          <w:sz w:val="22"/>
          <w:szCs w:val="22"/>
        </w:rPr>
      </w:pPr>
      <w:r>
        <w:rPr>
          <w:sz w:val="22"/>
          <w:szCs w:val="22"/>
        </w:rPr>
        <w:t xml:space="preserve">9.7 </w:t>
      </w:r>
      <w:r w:rsidR="00DD51B1" w:rsidRPr="00DD51B1">
        <w:rPr>
          <w:sz w:val="22"/>
          <w:szCs w:val="22"/>
        </w:rPr>
        <w:t>We propose also to clarify:</w:t>
      </w:r>
    </w:p>
    <w:p w:rsidR="003671AB" w:rsidRPr="00DD51B1" w:rsidRDefault="003671AB" w:rsidP="00533684">
      <w:pPr>
        <w:jc w:val="both"/>
        <w:rPr>
          <w:sz w:val="22"/>
          <w:szCs w:val="22"/>
        </w:rPr>
      </w:pPr>
    </w:p>
    <w:p w:rsidR="003671AB" w:rsidRPr="00DD51B1" w:rsidRDefault="0056473A" w:rsidP="00C15620">
      <w:pPr>
        <w:pStyle w:val="ListParagraph"/>
        <w:numPr>
          <w:ilvl w:val="0"/>
          <w:numId w:val="16"/>
        </w:numPr>
        <w:jc w:val="both"/>
        <w:rPr>
          <w:sz w:val="22"/>
          <w:szCs w:val="22"/>
        </w:rPr>
      </w:pPr>
      <w:r>
        <w:rPr>
          <w:sz w:val="22"/>
          <w:szCs w:val="22"/>
        </w:rPr>
        <w:t>Where a</w:t>
      </w:r>
      <w:r w:rsidR="00A622D9">
        <w:rPr>
          <w:sz w:val="22"/>
          <w:szCs w:val="22"/>
        </w:rPr>
        <w:t>ny</w:t>
      </w:r>
      <w:r>
        <w:rPr>
          <w:sz w:val="22"/>
          <w:szCs w:val="22"/>
        </w:rPr>
        <w:t xml:space="preserve"> school / provider believes</w:t>
      </w:r>
      <w:r w:rsidR="003671AB" w:rsidRPr="00DD51B1">
        <w:rPr>
          <w:sz w:val="22"/>
          <w:szCs w:val="22"/>
        </w:rPr>
        <w:t xml:space="preserve"> that they</w:t>
      </w:r>
      <w:r>
        <w:rPr>
          <w:sz w:val="22"/>
          <w:szCs w:val="22"/>
        </w:rPr>
        <w:t xml:space="preserve"> do not have the resources to fund</w:t>
      </w:r>
      <w:r w:rsidR="003671AB" w:rsidRPr="00DD51B1">
        <w:rPr>
          <w:sz w:val="22"/>
          <w:szCs w:val="22"/>
        </w:rPr>
        <w:t xml:space="preserve"> the required £1,000 e.g. the school</w:t>
      </w:r>
      <w:r>
        <w:rPr>
          <w:sz w:val="22"/>
          <w:szCs w:val="22"/>
        </w:rPr>
        <w:t xml:space="preserve"> / provider</w:t>
      </w:r>
      <w:r w:rsidR="003671AB" w:rsidRPr="00DD51B1">
        <w:rPr>
          <w:sz w:val="22"/>
          <w:szCs w:val="22"/>
        </w:rPr>
        <w:t xml:space="preserve"> </w:t>
      </w:r>
      <w:r>
        <w:rPr>
          <w:sz w:val="22"/>
          <w:szCs w:val="22"/>
        </w:rPr>
        <w:t>has</w:t>
      </w:r>
      <w:r w:rsidR="00524317">
        <w:rPr>
          <w:sz w:val="22"/>
          <w:szCs w:val="22"/>
        </w:rPr>
        <w:t xml:space="preserve"> a </w:t>
      </w:r>
      <w:r w:rsidR="003671AB" w:rsidRPr="00DD51B1">
        <w:rPr>
          <w:sz w:val="22"/>
          <w:szCs w:val="22"/>
        </w:rPr>
        <w:t>large number of SEND pupils requiring specialist equipment and has already contributed to these,</w:t>
      </w:r>
      <w:r w:rsidR="00461412">
        <w:rPr>
          <w:sz w:val="22"/>
          <w:szCs w:val="22"/>
        </w:rPr>
        <w:t xml:space="preserve"> or evidences that they have already spent </w:t>
      </w:r>
      <w:r>
        <w:rPr>
          <w:sz w:val="22"/>
          <w:szCs w:val="22"/>
        </w:rPr>
        <w:t xml:space="preserve">at least </w:t>
      </w:r>
      <w:r w:rsidR="00461412">
        <w:rPr>
          <w:sz w:val="22"/>
          <w:szCs w:val="22"/>
        </w:rPr>
        <w:t>£1,000 on the cost of specific equipment for that child or young person,</w:t>
      </w:r>
      <w:r w:rsidR="003671AB" w:rsidRPr="00DD51B1">
        <w:rPr>
          <w:sz w:val="22"/>
          <w:szCs w:val="22"/>
        </w:rPr>
        <w:t xml:space="preserve"> the school / provider should set this out and evidence this</w:t>
      </w:r>
      <w:r w:rsidR="00524317">
        <w:rPr>
          <w:sz w:val="22"/>
          <w:szCs w:val="22"/>
        </w:rPr>
        <w:t xml:space="preserve"> in their</w:t>
      </w:r>
      <w:r w:rsidR="003671AB" w:rsidRPr="00DD51B1">
        <w:rPr>
          <w:sz w:val="22"/>
          <w:szCs w:val="22"/>
        </w:rPr>
        <w:t xml:space="preserve"> application to the SEND Panel.</w:t>
      </w:r>
      <w:r w:rsidR="00DD51B1" w:rsidRPr="00DD51B1">
        <w:rPr>
          <w:sz w:val="22"/>
          <w:szCs w:val="22"/>
        </w:rPr>
        <w:t xml:space="preserve"> The SEND Panel will make an assessment of the ‘reasonableness’ of charging on this occasion and th</w:t>
      </w:r>
      <w:r w:rsidR="00524317">
        <w:rPr>
          <w:sz w:val="22"/>
          <w:szCs w:val="22"/>
        </w:rPr>
        <w:t>i</w:t>
      </w:r>
      <w:r w:rsidR="00DD51B1" w:rsidRPr="00DD51B1">
        <w:rPr>
          <w:sz w:val="22"/>
          <w:szCs w:val="22"/>
        </w:rPr>
        <w:t xml:space="preserve">s may mean that the school / provider is not required to contribute or </w:t>
      </w:r>
      <w:r w:rsidR="007D68F7">
        <w:rPr>
          <w:sz w:val="22"/>
          <w:szCs w:val="22"/>
        </w:rPr>
        <w:t>is asked to contribute a smaller</w:t>
      </w:r>
      <w:r w:rsidR="00DD51B1" w:rsidRPr="00DD51B1">
        <w:rPr>
          <w:sz w:val="22"/>
          <w:szCs w:val="22"/>
        </w:rPr>
        <w:t xml:space="preserve"> amount.</w:t>
      </w:r>
    </w:p>
    <w:p w:rsidR="00DD51B1" w:rsidRPr="00DD51B1" w:rsidRDefault="00DD51B1" w:rsidP="00DD51B1">
      <w:pPr>
        <w:pStyle w:val="ListParagraph"/>
        <w:jc w:val="both"/>
        <w:rPr>
          <w:sz w:val="22"/>
          <w:szCs w:val="22"/>
        </w:rPr>
      </w:pPr>
    </w:p>
    <w:p w:rsidR="003671AB" w:rsidRPr="00DD51B1" w:rsidRDefault="003671AB" w:rsidP="00C15620">
      <w:pPr>
        <w:pStyle w:val="ListParagraph"/>
        <w:numPr>
          <w:ilvl w:val="0"/>
          <w:numId w:val="16"/>
        </w:numPr>
        <w:jc w:val="both"/>
        <w:rPr>
          <w:sz w:val="22"/>
          <w:szCs w:val="22"/>
        </w:rPr>
      </w:pPr>
      <w:r w:rsidRPr="00DD51B1">
        <w:rPr>
          <w:sz w:val="22"/>
          <w:szCs w:val="22"/>
        </w:rPr>
        <w:t xml:space="preserve">As early years settings (including mainstream, independent and private) </w:t>
      </w:r>
      <w:r w:rsidR="00DD51B1" w:rsidRPr="00DD51B1">
        <w:rPr>
          <w:sz w:val="22"/>
          <w:szCs w:val="22"/>
        </w:rPr>
        <w:t>do not receive</w:t>
      </w:r>
      <w:r w:rsidRPr="00DD51B1">
        <w:rPr>
          <w:sz w:val="22"/>
          <w:szCs w:val="22"/>
        </w:rPr>
        <w:t xml:space="preserve"> Element 2 (£6,000) funding they will not be expected to contribute towards specialist equipment</w:t>
      </w:r>
      <w:r w:rsidR="00C15620" w:rsidRPr="00DD51B1">
        <w:rPr>
          <w:sz w:val="22"/>
          <w:szCs w:val="22"/>
        </w:rPr>
        <w:t xml:space="preserve">. This also applies to specialist equipment for a child in an early years setting within a school. For a child in reception class within a school the first £1,000 </w:t>
      </w:r>
      <w:r w:rsidR="00DD51B1" w:rsidRPr="00DD51B1">
        <w:rPr>
          <w:sz w:val="22"/>
          <w:szCs w:val="22"/>
        </w:rPr>
        <w:t>would</w:t>
      </w:r>
      <w:r w:rsidR="00C15620" w:rsidRPr="00DD51B1">
        <w:rPr>
          <w:sz w:val="22"/>
          <w:szCs w:val="22"/>
        </w:rPr>
        <w:t xml:space="preserve"> </w:t>
      </w:r>
      <w:r w:rsidR="00DD51B1" w:rsidRPr="00DD51B1">
        <w:rPr>
          <w:sz w:val="22"/>
          <w:szCs w:val="22"/>
        </w:rPr>
        <w:t>apply</w:t>
      </w:r>
      <w:r w:rsidR="00C15620" w:rsidRPr="00DD51B1">
        <w:rPr>
          <w:sz w:val="22"/>
          <w:szCs w:val="22"/>
        </w:rPr>
        <w:t xml:space="preserve"> to this situation as the school is in receipt of Element 2 funding</w:t>
      </w:r>
      <w:r w:rsidR="00DD51B1" w:rsidRPr="00DD51B1">
        <w:rPr>
          <w:sz w:val="22"/>
          <w:szCs w:val="22"/>
        </w:rPr>
        <w:t>.</w:t>
      </w:r>
    </w:p>
    <w:p w:rsidR="00380B51" w:rsidRDefault="00380B51" w:rsidP="00380B51">
      <w:pPr>
        <w:jc w:val="both"/>
        <w:rPr>
          <w:b/>
          <w:color w:val="548DD4" w:themeColor="text2" w:themeTint="99"/>
          <w:sz w:val="22"/>
          <w:szCs w:val="22"/>
        </w:rPr>
      </w:pPr>
    </w:p>
    <w:p w:rsidR="00E724B2" w:rsidRDefault="00E724B2" w:rsidP="00E724B2">
      <w:pPr>
        <w:jc w:val="both"/>
        <w:rPr>
          <w:b/>
          <w:color w:val="548DD4" w:themeColor="text2" w:themeTint="99"/>
          <w:sz w:val="22"/>
          <w:szCs w:val="22"/>
        </w:rPr>
      </w:pPr>
      <w:r>
        <w:rPr>
          <w:b/>
          <w:color w:val="548DD4" w:themeColor="text2" w:themeTint="99"/>
          <w:sz w:val="22"/>
          <w:szCs w:val="22"/>
        </w:rPr>
        <w:t>Question 8 – Do you agree with the amendments to the approach to the sharing of the cost of specialist equipment that are proposed? If not, please can you explain why not.</w:t>
      </w:r>
    </w:p>
    <w:p w:rsidR="00380B51" w:rsidRDefault="00380B51" w:rsidP="00380B51">
      <w:pPr>
        <w:jc w:val="both"/>
        <w:rPr>
          <w:b/>
          <w:color w:val="548DD4" w:themeColor="text2" w:themeTint="99"/>
          <w:sz w:val="22"/>
          <w:szCs w:val="22"/>
        </w:rPr>
      </w:pPr>
    </w:p>
    <w:p w:rsidR="00380B51" w:rsidRDefault="00380B51" w:rsidP="00380B51">
      <w:pPr>
        <w:jc w:val="both"/>
        <w:rPr>
          <w:b/>
          <w:color w:val="548DD4" w:themeColor="text2" w:themeTint="99"/>
          <w:sz w:val="22"/>
          <w:szCs w:val="22"/>
        </w:rPr>
      </w:pPr>
      <w:r>
        <w:rPr>
          <w:b/>
          <w:color w:val="548DD4" w:themeColor="text2" w:themeTint="99"/>
          <w:sz w:val="22"/>
          <w:szCs w:val="22"/>
        </w:rPr>
        <w:t xml:space="preserve">Question 9 – Do you have any comments (including technical comments) on the proposed approach to the sharing of the cost of specialist equipment you would like the Authority to consider? </w:t>
      </w:r>
    </w:p>
    <w:p w:rsidR="00414949" w:rsidRPr="00DE780F" w:rsidRDefault="00414949" w:rsidP="00DE780F">
      <w:pPr>
        <w:ind w:left="360"/>
        <w:jc w:val="both"/>
        <w:rPr>
          <w:sz w:val="22"/>
          <w:szCs w:val="22"/>
        </w:rPr>
      </w:pPr>
    </w:p>
    <w:p w:rsidR="00A40E08" w:rsidRDefault="00A40E08" w:rsidP="00C6158B">
      <w:pPr>
        <w:jc w:val="both"/>
        <w:rPr>
          <w:b/>
          <w:sz w:val="22"/>
          <w:szCs w:val="22"/>
        </w:rPr>
      </w:pPr>
    </w:p>
    <w:p w:rsidR="00C6158B" w:rsidRDefault="009968E9" w:rsidP="00C6158B">
      <w:pPr>
        <w:jc w:val="both"/>
        <w:rPr>
          <w:b/>
          <w:sz w:val="22"/>
          <w:szCs w:val="22"/>
        </w:rPr>
      </w:pPr>
      <w:r>
        <w:rPr>
          <w:b/>
          <w:sz w:val="22"/>
          <w:szCs w:val="22"/>
        </w:rPr>
        <w:t>10</w:t>
      </w:r>
      <w:r w:rsidR="00C6158B">
        <w:rPr>
          <w:b/>
          <w:sz w:val="22"/>
          <w:szCs w:val="22"/>
        </w:rPr>
        <w:t>.</w:t>
      </w:r>
      <w:r w:rsidR="00C6158B">
        <w:rPr>
          <w:b/>
          <w:sz w:val="22"/>
          <w:szCs w:val="22"/>
        </w:rPr>
        <w:tab/>
        <w:t>Consultation Responses</w:t>
      </w:r>
    </w:p>
    <w:p w:rsidR="00300DA2" w:rsidRDefault="00300DA2" w:rsidP="00C6158B">
      <w:pPr>
        <w:jc w:val="both"/>
        <w:rPr>
          <w:sz w:val="22"/>
          <w:szCs w:val="22"/>
        </w:rPr>
      </w:pPr>
    </w:p>
    <w:p w:rsidR="00C6158B" w:rsidRDefault="009968E9" w:rsidP="00C6158B">
      <w:pPr>
        <w:jc w:val="both"/>
        <w:rPr>
          <w:b/>
          <w:sz w:val="22"/>
          <w:szCs w:val="22"/>
        </w:rPr>
      </w:pPr>
      <w:r>
        <w:rPr>
          <w:sz w:val="22"/>
          <w:szCs w:val="22"/>
        </w:rPr>
        <w:t>10</w:t>
      </w:r>
      <w:r w:rsidR="00897157">
        <w:rPr>
          <w:sz w:val="22"/>
          <w:szCs w:val="22"/>
        </w:rPr>
        <w:t>.1</w:t>
      </w:r>
      <w:r w:rsidR="00300DA2">
        <w:rPr>
          <w:sz w:val="22"/>
          <w:szCs w:val="22"/>
        </w:rPr>
        <w:t xml:space="preserve"> </w:t>
      </w:r>
      <w:r w:rsidR="00C6158B">
        <w:rPr>
          <w:sz w:val="22"/>
          <w:szCs w:val="22"/>
        </w:rPr>
        <w:t xml:space="preserve">Please use the </w:t>
      </w:r>
      <w:r w:rsidR="00C6158B" w:rsidRPr="00C9420D">
        <w:rPr>
          <w:sz w:val="22"/>
          <w:szCs w:val="22"/>
        </w:rPr>
        <w:t>responses form</w:t>
      </w:r>
      <w:r w:rsidR="00C6158B">
        <w:rPr>
          <w:sz w:val="22"/>
          <w:szCs w:val="22"/>
        </w:rPr>
        <w:t xml:space="preserve"> at</w:t>
      </w:r>
      <w:r w:rsidR="00C6158B" w:rsidRPr="00C9420D">
        <w:rPr>
          <w:sz w:val="22"/>
          <w:szCs w:val="22"/>
        </w:rPr>
        <w:t xml:space="preserve"> </w:t>
      </w:r>
      <w:r w:rsidR="00C6158B" w:rsidRPr="00BC1089">
        <w:rPr>
          <w:sz w:val="22"/>
          <w:szCs w:val="22"/>
        </w:rPr>
        <w:t xml:space="preserve">Appendix </w:t>
      </w:r>
      <w:r w:rsidR="007B515F" w:rsidRPr="00BC1089">
        <w:rPr>
          <w:sz w:val="22"/>
          <w:szCs w:val="22"/>
        </w:rPr>
        <w:t>6</w:t>
      </w:r>
      <w:r w:rsidR="00C6158B" w:rsidRPr="00BC1089">
        <w:rPr>
          <w:sz w:val="22"/>
          <w:szCs w:val="22"/>
        </w:rPr>
        <w:t xml:space="preserve"> to </w:t>
      </w:r>
      <w:r w:rsidR="00C6158B" w:rsidRPr="00D10526">
        <w:rPr>
          <w:color w:val="000000"/>
          <w:sz w:val="22"/>
          <w:szCs w:val="22"/>
        </w:rPr>
        <w:t>submit</w:t>
      </w:r>
      <w:r w:rsidR="00300DA2">
        <w:rPr>
          <w:sz w:val="22"/>
          <w:szCs w:val="22"/>
        </w:rPr>
        <w:t xml:space="preserve"> your views. </w:t>
      </w:r>
      <w:r w:rsidR="00C6158B">
        <w:rPr>
          <w:sz w:val="22"/>
          <w:szCs w:val="22"/>
        </w:rPr>
        <w:t xml:space="preserve">There is space in this form for you to comment on any aspect of the proposals. If you wish to discuss these proposals in more detail, or have any specific questions, please contact Andrew Redding using the contact details shown in paragraph 1. Please ensure that your response is submitted by the </w:t>
      </w:r>
      <w:r w:rsidR="00C6158B" w:rsidRPr="00224C4E">
        <w:rPr>
          <w:sz w:val="22"/>
          <w:szCs w:val="22"/>
        </w:rPr>
        <w:t xml:space="preserve">deadline of </w:t>
      </w:r>
      <w:r w:rsidR="00BC1089" w:rsidRPr="00224C4E">
        <w:rPr>
          <w:b/>
          <w:sz w:val="22"/>
          <w:szCs w:val="22"/>
        </w:rPr>
        <w:t>Tuesday</w:t>
      </w:r>
      <w:r w:rsidR="00897157" w:rsidRPr="00224C4E">
        <w:rPr>
          <w:b/>
          <w:sz w:val="22"/>
          <w:szCs w:val="22"/>
        </w:rPr>
        <w:t xml:space="preserve"> </w:t>
      </w:r>
      <w:r w:rsidR="007B515F" w:rsidRPr="00224C4E">
        <w:rPr>
          <w:b/>
          <w:sz w:val="22"/>
          <w:szCs w:val="22"/>
        </w:rPr>
        <w:t>4</w:t>
      </w:r>
      <w:r w:rsidR="00897157" w:rsidRPr="00224C4E">
        <w:rPr>
          <w:b/>
          <w:sz w:val="22"/>
          <w:szCs w:val="22"/>
        </w:rPr>
        <w:t xml:space="preserve"> February 2020</w:t>
      </w:r>
      <w:r w:rsidR="00C6158B" w:rsidRPr="00C6158B">
        <w:rPr>
          <w:b/>
          <w:sz w:val="22"/>
          <w:szCs w:val="22"/>
        </w:rPr>
        <w:t>.</w:t>
      </w:r>
    </w:p>
    <w:p w:rsidR="009416E9" w:rsidRDefault="009416E9" w:rsidP="00C6158B">
      <w:pPr>
        <w:jc w:val="both"/>
        <w:rPr>
          <w:b/>
          <w:sz w:val="22"/>
          <w:szCs w:val="22"/>
        </w:rPr>
      </w:pPr>
    </w:p>
    <w:p w:rsidR="009416E9" w:rsidRPr="00E724B2" w:rsidRDefault="009416E9" w:rsidP="00C6158B">
      <w:pPr>
        <w:jc w:val="both"/>
        <w:rPr>
          <w:sz w:val="22"/>
          <w:szCs w:val="22"/>
        </w:rPr>
      </w:pPr>
    </w:p>
    <w:p w:rsidR="00C6158B" w:rsidRDefault="009968E9" w:rsidP="00C6158B">
      <w:pPr>
        <w:jc w:val="both"/>
        <w:rPr>
          <w:b/>
          <w:sz w:val="22"/>
          <w:szCs w:val="22"/>
        </w:rPr>
      </w:pPr>
      <w:r>
        <w:rPr>
          <w:b/>
          <w:sz w:val="22"/>
          <w:szCs w:val="22"/>
        </w:rPr>
        <w:t>11</w:t>
      </w:r>
      <w:r w:rsidR="00C6158B">
        <w:rPr>
          <w:b/>
          <w:sz w:val="22"/>
          <w:szCs w:val="22"/>
        </w:rPr>
        <w:t>.</w:t>
      </w:r>
      <w:r w:rsidR="00C6158B">
        <w:rPr>
          <w:b/>
          <w:sz w:val="22"/>
          <w:szCs w:val="22"/>
        </w:rPr>
        <w:tab/>
        <w:t>Next Steps</w:t>
      </w:r>
    </w:p>
    <w:p w:rsidR="00C6158B" w:rsidRDefault="00C6158B" w:rsidP="00C6158B">
      <w:pPr>
        <w:jc w:val="both"/>
        <w:rPr>
          <w:b/>
          <w:sz w:val="22"/>
          <w:szCs w:val="22"/>
        </w:rPr>
      </w:pPr>
    </w:p>
    <w:p w:rsidR="0080270C" w:rsidRPr="00196DF9" w:rsidRDefault="00196DF9" w:rsidP="00C6158B">
      <w:pPr>
        <w:jc w:val="both"/>
        <w:rPr>
          <w:sz w:val="22"/>
          <w:szCs w:val="22"/>
        </w:rPr>
      </w:pPr>
      <w:r>
        <w:rPr>
          <w:sz w:val="22"/>
          <w:szCs w:val="22"/>
        </w:rPr>
        <w:t>11</w:t>
      </w:r>
      <w:r w:rsidR="00C6158B" w:rsidRPr="00196DF9">
        <w:rPr>
          <w:sz w:val="22"/>
          <w:szCs w:val="22"/>
        </w:rPr>
        <w:t>.1 T</w:t>
      </w:r>
      <w:r w:rsidR="00BC1089" w:rsidRPr="00196DF9">
        <w:rPr>
          <w:sz w:val="22"/>
          <w:szCs w:val="22"/>
        </w:rPr>
        <w:t>he Schools Forum will make its</w:t>
      </w:r>
      <w:r w:rsidR="00C6158B" w:rsidRPr="00196DF9">
        <w:rPr>
          <w:sz w:val="22"/>
          <w:szCs w:val="22"/>
        </w:rPr>
        <w:t xml:space="preserve"> recommendations on </w:t>
      </w:r>
      <w:r w:rsidR="00897157" w:rsidRPr="00196DF9">
        <w:rPr>
          <w:sz w:val="22"/>
          <w:szCs w:val="22"/>
        </w:rPr>
        <w:t xml:space="preserve">the </w:t>
      </w:r>
      <w:r w:rsidR="009968E9" w:rsidRPr="00196DF9">
        <w:rPr>
          <w:sz w:val="22"/>
          <w:szCs w:val="22"/>
        </w:rPr>
        <w:t xml:space="preserve">allocation of the DSG for the </w:t>
      </w:r>
      <w:r w:rsidR="00897157" w:rsidRPr="00196DF9">
        <w:rPr>
          <w:sz w:val="22"/>
          <w:szCs w:val="22"/>
        </w:rPr>
        <w:t>2020/21</w:t>
      </w:r>
      <w:r w:rsidR="009968E9" w:rsidRPr="00196DF9">
        <w:rPr>
          <w:sz w:val="22"/>
          <w:szCs w:val="22"/>
        </w:rPr>
        <w:t xml:space="preserve"> financial year across its two</w:t>
      </w:r>
      <w:r w:rsidR="00BC1089" w:rsidRPr="00196DF9">
        <w:rPr>
          <w:sz w:val="22"/>
          <w:szCs w:val="22"/>
        </w:rPr>
        <w:t xml:space="preserve"> meeting in January 2020</w:t>
      </w:r>
      <w:r w:rsidR="00C6158B" w:rsidRPr="00196DF9">
        <w:rPr>
          <w:sz w:val="22"/>
          <w:szCs w:val="22"/>
        </w:rPr>
        <w:t>.</w:t>
      </w:r>
      <w:r w:rsidR="009968E9" w:rsidRPr="00196DF9">
        <w:rPr>
          <w:sz w:val="22"/>
          <w:szCs w:val="22"/>
        </w:rPr>
        <w:t xml:space="preserve"> </w:t>
      </w:r>
      <w:r w:rsidR="0080270C" w:rsidRPr="00196DF9">
        <w:rPr>
          <w:sz w:val="22"/>
          <w:szCs w:val="22"/>
        </w:rPr>
        <w:t xml:space="preserve">These meetings cannot be pushed back due to the deadlines that the ESFA has set for the return of </w:t>
      </w:r>
      <w:r w:rsidRPr="00196DF9">
        <w:rPr>
          <w:sz w:val="22"/>
          <w:szCs w:val="22"/>
        </w:rPr>
        <w:t xml:space="preserve">the </w:t>
      </w:r>
      <w:r w:rsidR="0080270C" w:rsidRPr="00196DF9">
        <w:rPr>
          <w:sz w:val="22"/>
          <w:szCs w:val="22"/>
        </w:rPr>
        <w:t xml:space="preserve">information it requires for the calculation of </w:t>
      </w:r>
      <w:r w:rsidRPr="00196DF9">
        <w:rPr>
          <w:sz w:val="22"/>
          <w:szCs w:val="22"/>
        </w:rPr>
        <w:t>GAG allocations</w:t>
      </w:r>
      <w:r w:rsidR="0080270C" w:rsidRPr="00196DF9">
        <w:rPr>
          <w:sz w:val="22"/>
          <w:szCs w:val="22"/>
        </w:rPr>
        <w:t xml:space="preserve"> for academies and due to the lead in time needed to progress these DSG recommendations for final decision through Council.</w:t>
      </w:r>
    </w:p>
    <w:p w:rsidR="0080270C" w:rsidRPr="00196DF9" w:rsidRDefault="0080270C" w:rsidP="00C6158B">
      <w:pPr>
        <w:jc w:val="both"/>
        <w:rPr>
          <w:sz w:val="22"/>
          <w:szCs w:val="22"/>
        </w:rPr>
      </w:pPr>
    </w:p>
    <w:p w:rsidR="009968E9" w:rsidRPr="00196DF9" w:rsidRDefault="00196DF9" w:rsidP="00C6158B">
      <w:pPr>
        <w:jc w:val="both"/>
        <w:rPr>
          <w:sz w:val="22"/>
          <w:szCs w:val="22"/>
        </w:rPr>
      </w:pPr>
      <w:r>
        <w:rPr>
          <w:sz w:val="22"/>
          <w:szCs w:val="22"/>
        </w:rPr>
        <w:t>11</w:t>
      </w:r>
      <w:r w:rsidRPr="00196DF9">
        <w:rPr>
          <w:sz w:val="22"/>
          <w:szCs w:val="22"/>
        </w:rPr>
        <w:t xml:space="preserve">.2 </w:t>
      </w:r>
      <w:r w:rsidR="0080270C" w:rsidRPr="00196DF9">
        <w:rPr>
          <w:sz w:val="22"/>
          <w:szCs w:val="22"/>
        </w:rPr>
        <w:t xml:space="preserve">Recognising that the final detail of our 2020/21 high needs funding model will be subject to the outcomes of this consultation, which does </w:t>
      </w:r>
      <w:r w:rsidR="0080270C" w:rsidRPr="00224C4E">
        <w:rPr>
          <w:sz w:val="22"/>
          <w:szCs w:val="22"/>
        </w:rPr>
        <w:t>not close until 4 February, t</w:t>
      </w:r>
      <w:r w:rsidR="009968E9" w:rsidRPr="00224C4E">
        <w:rPr>
          <w:sz w:val="22"/>
          <w:szCs w:val="22"/>
        </w:rPr>
        <w:t xml:space="preserve">he </w:t>
      </w:r>
      <w:r w:rsidR="009968E9" w:rsidRPr="00196DF9">
        <w:rPr>
          <w:sz w:val="22"/>
          <w:szCs w:val="22"/>
        </w:rPr>
        <w:t>Forum will be asked to recommend</w:t>
      </w:r>
      <w:r w:rsidR="0080270C" w:rsidRPr="00196DF9">
        <w:rPr>
          <w:sz w:val="22"/>
          <w:szCs w:val="22"/>
        </w:rPr>
        <w:t xml:space="preserve"> in January</w:t>
      </w:r>
      <w:r w:rsidR="009968E9" w:rsidRPr="00196DF9">
        <w:rPr>
          <w:sz w:val="22"/>
          <w:szCs w:val="22"/>
        </w:rPr>
        <w:t xml:space="preserve"> that sufficient budget provision is made to enable the proposals </w:t>
      </w:r>
      <w:r w:rsidR="0080270C" w:rsidRPr="00196DF9">
        <w:rPr>
          <w:sz w:val="22"/>
          <w:szCs w:val="22"/>
        </w:rPr>
        <w:t xml:space="preserve">as </w:t>
      </w:r>
      <w:r w:rsidR="009968E9" w:rsidRPr="00196DF9">
        <w:rPr>
          <w:sz w:val="22"/>
          <w:szCs w:val="22"/>
        </w:rPr>
        <w:t xml:space="preserve">set out in this document to be </w:t>
      </w:r>
      <w:r w:rsidR="0080270C" w:rsidRPr="00196DF9">
        <w:rPr>
          <w:sz w:val="22"/>
          <w:szCs w:val="22"/>
        </w:rPr>
        <w:t>implemented. The Forum will be asked at the same time</w:t>
      </w:r>
      <w:r w:rsidRPr="00196DF9">
        <w:rPr>
          <w:sz w:val="22"/>
          <w:szCs w:val="22"/>
        </w:rPr>
        <w:t xml:space="preserve"> </w:t>
      </w:r>
      <w:r w:rsidR="0080270C" w:rsidRPr="00196DF9">
        <w:rPr>
          <w:sz w:val="22"/>
          <w:szCs w:val="22"/>
        </w:rPr>
        <w:t>to gives its</w:t>
      </w:r>
      <w:r w:rsidRPr="00196DF9">
        <w:rPr>
          <w:sz w:val="22"/>
          <w:szCs w:val="22"/>
        </w:rPr>
        <w:t xml:space="preserve"> ‘formal’</w:t>
      </w:r>
      <w:r w:rsidR="0080270C" w:rsidRPr="00196DF9">
        <w:rPr>
          <w:sz w:val="22"/>
          <w:szCs w:val="22"/>
        </w:rPr>
        <w:t xml:space="preserve"> feedback on the</w:t>
      </w:r>
      <w:r w:rsidR="001A3F38">
        <w:rPr>
          <w:sz w:val="22"/>
          <w:szCs w:val="22"/>
        </w:rPr>
        <w:t xml:space="preserve"> detail of the</w:t>
      </w:r>
      <w:r w:rsidR="0080270C" w:rsidRPr="00196DF9">
        <w:rPr>
          <w:sz w:val="22"/>
          <w:szCs w:val="22"/>
        </w:rPr>
        <w:t xml:space="preserve"> Council’s </w:t>
      </w:r>
      <w:r w:rsidR="001A3F38">
        <w:rPr>
          <w:sz w:val="22"/>
          <w:szCs w:val="22"/>
        </w:rPr>
        <w:t xml:space="preserve">high needs funding </w:t>
      </w:r>
      <w:r w:rsidR="0080270C" w:rsidRPr="00196DF9">
        <w:rPr>
          <w:sz w:val="22"/>
          <w:szCs w:val="22"/>
        </w:rPr>
        <w:t>proposals.</w:t>
      </w:r>
    </w:p>
    <w:p w:rsidR="009968E9" w:rsidRPr="00196DF9" w:rsidRDefault="009968E9" w:rsidP="00C6158B">
      <w:pPr>
        <w:jc w:val="both"/>
        <w:rPr>
          <w:sz w:val="22"/>
          <w:szCs w:val="22"/>
        </w:rPr>
      </w:pPr>
    </w:p>
    <w:p w:rsidR="00C6158B" w:rsidRPr="00196DF9" w:rsidRDefault="00196DF9" w:rsidP="00C6158B">
      <w:pPr>
        <w:jc w:val="both"/>
        <w:rPr>
          <w:sz w:val="22"/>
          <w:szCs w:val="22"/>
        </w:rPr>
      </w:pPr>
      <w:r>
        <w:rPr>
          <w:sz w:val="22"/>
          <w:szCs w:val="22"/>
        </w:rPr>
        <w:t>11</w:t>
      </w:r>
      <w:r w:rsidRPr="00196DF9">
        <w:rPr>
          <w:sz w:val="22"/>
          <w:szCs w:val="22"/>
        </w:rPr>
        <w:t>.3</w:t>
      </w:r>
      <w:r w:rsidR="009968E9" w:rsidRPr="00196DF9">
        <w:rPr>
          <w:sz w:val="22"/>
          <w:szCs w:val="22"/>
        </w:rPr>
        <w:t xml:space="preserve"> This consultation will </w:t>
      </w:r>
      <w:r w:rsidR="009968E9" w:rsidRPr="00224C4E">
        <w:rPr>
          <w:sz w:val="22"/>
          <w:szCs w:val="22"/>
        </w:rPr>
        <w:t>close</w:t>
      </w:r>
      <w:r w:rsidR="00C6158B" w:rsidRPr="00224C4E">
        <w:rPr>
          <w:sz w:val="22"/>
          <w:szCs w:val="22"/>
        </w:rPr>
        <w:t xml:space="preserve"> </w:t>
      </w:r>
      <w:r w:rsidR="0080270C" w:rsidRPr="00224C4E">
        <w:rPr>
          <w:sz w:val="22"/>
          <w:szCs w:val="22"/>
        </w:rPr>
        <w:t xml:space="preserve">on 4 February. The </w:t>
      </w:r>
      <w:r w:rsidR="0080270C" w:rsidRPr="00196DF9">
        <w:rPr>
          <w:sz w:val="22"/>
          <w:szCs w:val="22"/>
        </w:rPr>
        <w:t>final proposed funding model, taking account of the feedback from this consultation, will be presented to the Council’s Executive and then to full Council on 20 February</w:t>
      </w:r>
      <w:r w:rsidR="001A3F38">
        <w:rPr>
          <w:sz w:val="22"/>
          <w:szCs w:val="22"/>
        </w:rPr>
        <w:t xml:space="preserve"> 2020</w:t>
      </w:r>
      <w:r w:rsidR="0080270C" w:rsidRPr="00196DF9">
        <w:rPr>
          <w:sz w:val="22"/>
          <w:szCs w:val="22"/>
        </w:rPr>
        <w:t xml:space="preserve"> for final decision as part of the normal annual </w:t>
      </w:r>
      <w:r w:rsidRPr="00196DF9">
        <w:rPr>
          <w:sz w:val="22"/>
          <w:szCs w:val="22"/>
        </w:rPr>
        <w:t>overall Schools Budget</w:t>
      </w:r>
      <w:r w:rsidR="00652CC9">
        <w:rPr>
          <w:sz w:val="22"/>
          <w:szCs w:val="22"/>
        </w:rPr>
        <w:t xml:space="preserve"> and Council Budget</w:t>
      </w:r>
      <w:r w:rsidRPr="00196DF9">
        <w:rPr>
          <w:sz w:val="22"/>
          <w:szCs w:val="22"/>
        </w:rPr>
        <w:t xml:space="preserve"> setting process.</w:t>
      </w:r>
    </w:p>
    <w:p w:rsidR="00C6158B" w:rsidRPr="00196DF9" w:rsidRDefault="00C6158B" w:rsidP="00C6158B">
      <w:pPr>
        <w:jc w:val="both"/>
        <w:rPr>
          <w:sz w:val="22"/>
          <w:szCs w:val="22"/>
        </w:rPr>
      </w:pPr>
    </w:p>
    <w:p w:rsidR="00C6158B" w:rsidRPr="00196DF9" w:rsidRDefault="00196DF9" w:rsidP="00C6158B">
      <w:pPr>
        <w:jc w:val="both"/>
        <w:rPr>
          <w:sz w:val="22"/>
          <w:szCs w:val="22"/>
        </w:rPr>
      </w:pPr>
      <w:r>
        <w:rPr>
          <w:sz w:val="22"/>
          <w:szCs w:val="22"/>
        </w:rPr>
        <w:t>11</w:t>
      </w:r>
      <w:r w:rsidR="0080270C" w:rsidRPr="00196DF9">
        <w:rPr>
          <w:sz w:val="22"/>
          <w:szCs w:val="22"/>
        </w:rPr>
        <w:t>.</w:t>
      </w:r>
      <w:r w:rsidRPr="00196DF9">
        <w:rPr>
          <w:sz w:val="22"/>
          <w:szCs w:val="22"/>
        </w:rPr>
        <w:t>4</w:t>
      </w:r>
      <w:r w:rsidR="00C6158B" w:rsidRPr="00196DF9">
        <w:rPr>
          <w:sz w:val="22"/>
          <w:szCs w:val="22"/>
        </w:rPr>
        <w:t xml:space="preserve"> Subject to the</w:t>
      </w:r>
      <w:r w:rsidRPr="00196DF9">
        <w:rPr>
          <w:sz w:val="22"/>
          <w:szCs w:val="22"/>
        </w:rPr>
        <w:t xml:space="preserve"> outcomes of the consultation</w:t>
      </w:r>
      <w:r w:rsidR="009846A3">
        <w:rPr>
          <w:sz w:val="22"/>
          <w:szCs w:val="22"/>
        </w:rPr>
        <w:t>,</w:t>
      </w:r>
      <w:r w:rsidRPr="00196DF9">
        <w:rPr>
          <w:sz w:val="22"/>
          <w:szCs w:val="22"/>
        </w:rPr>
        <w:t xml:space="preserve"> and the</w:t>
      </w:r>
      <w:r w:rsidR="00C169D1">
        <w:rPr>
          <w:sz w:val="22"/>
          <w:szCs w:val="22"/>
        </w:rPr>
        <w:t xml:space="preserve"> agreement of Council, a</w:t>
      </w:r>
      <w:r w:rsidR="0080270C" w:rsidRPr="00196DF9">
        <w:rPr>
          <w:sz w:val="22"/>
          <w:szCs w:val="22"/>
        </w:rPr>
        <w:t xml:space="preserve"> final</w:t>
      </w:r>
      <w:r w:rsidR="00C6158B" w:rsidRPr="00196DF9">
        <w:rPr>
          <w:sz w:val="22"/>
          <w:szCs w:val="22"/>
        </w:rPr>
        <w:t xml:space="preserve"> </w:t>
      </w:r>
      <w:r w:rsidRPr="00196DF9">
        <w:rPr>
          <w:sz w:val="22"/>
          <w:szCs w:val="22"/>
        </w:rPr>
        <w:t>agreed model</w:t>
      </w:r>
      <w:r w:rsidR="00C6158B" w:rsidRPr="00196DF9">
        <w:rPr>
          <w:sz w:val="22"/>
          <w:szCs w:val="22"/>
        </w:rPr>
        <w:t xml:space="preserve"> will be used to alloca</w:t>
      </w:r>
      <w:r w:rsidRPr="00196DF9">
        <w:rPr>
          <w:sz w:val="22"/>
          <w:szCs w:val="22"/>
        </w:rPr>
        <w:t>te High Needs Block</w:t>
      </w:r>
      <w:r w:rsidR="0080270C" w:rsidRPr="00196DF9">
        <w:rPr>
          <w:sz w:val="22"/>
          <w:szCs w:val="22"/>
        </w:rPr>
        <w:t xml:space="preserve"> funding to providers from 1 April 2020</w:t>
      </w:r>
      <w:r w:rsidR="00C6158B" w:rsidRPr="00196DF9">
        <w:rPr>
          <w:sz w:val="22"/>
          <w:szCs w:val="22"/>
        </w:rPr>
        <w:t>.</w:t>
      </w:r>
    </w:p>
    <w:p w:rsidR="0080270C" w:rsidRDefault="0080270C" w:rsidP="00C6158B">
      <w:pPr>
        <w:jc w:val="both"/>
        <w:rPr>
          <w:color w:val="FF0000"/>
          <w:sz w:val="22"/>
          <w:szCs w:val="22"/>
        </w:rPr>
      </w:pPr>
    </w:p>
    <w:p w:rsidR="00C6158B" w:rsidRPr="00224C4E" w:rsidRDefault="00196DF9" w:rsidP="00C6158B">
      <w:pPr>
        <w:jc w:val="both"/>
        <w:rPr>
          <w:b/>
          <w:sz w:val="22"/>
          <w:szCs w:val="22"/>
        </w:rPr>
      </w:pPr>
      <w:r w:rsidRPr="00224C4E">
        <w:rPr>
          <w:sz w:val="22"/>
          <w:szCs w:val="22"/>
        </w:rPr>
        <w:t>11.5</w:t>
      </w:r>
      <w:r w:rsidR="0080270C" w:rsidRPr="00224C4E">
        <w:rPr>
          <w:sz w:val="22"/>
          <w:szCs w:val="22"/>
        </w:rPr>
        <w:t xml:space="preserve"> </w:t>
      </w:r>
      <w:r w:rsidR="009846A3" w:rsidRPr="00224C4E">
        <w:rPr>
          <w:sz w:val="22"/>
          <w:szCs w:val="22"/>
        </w:rPr>
        <w:t>However, r</w:t>
      </w:r>
      <w:r w:rsidR="0080270C" w:rsidRPr="00224C4E">
        <w:rPr>
          <w:sz w:val="22"/>
          <w:szCs w:val="22"/>
        </w:rPr>
        <w:t>eminding of the warning given in paragraph 1.2, our consultation</w:t>
      </w:r>
      <w:r w:rsidR="00737D13" w:rsidRPr="00224C4E">
        <w:rPr>
          <w:sz w:val="22"/>
          <w:szCs w:val="22"/>
        </w:rPr>
        <w:t xml:space="preserve"> here assumes that the</w:t>
      </w:r>
      <w:r w:rsidR="0080270C" w:rsidRPr="00224C4E">
        <w:rPr>
          <w:sz w:val="22"/>
          <w:szCs w:val="22"/>
        </w:rPr>
        <w:t xml:space="preserve"> national high needs funding arrangements for 2020/21 will be as announced prior to the general election. If changes in the national system, or changes to the values of High Needs Block funding previously announced, are made for 2020/21, following the general election, we will need to assess how these changes affect our proposals and we will need to discuss this with the Schools Forum and possibly revise our proposals and consult again. This may affect implementation timescales.</w:t>
      </w:r>
    </w:p>
    <w:p w:rsidR="00C6158B" w:rsidRDefault="00C6158B" w:rsidP="00C6158B">
      <w:pPr>
        <w:jc w:val="both"/>
        <w:rPr>
          <w:b/>
          <w:sz w:val="22"/>
          <w:szCs w:val="22"/>
        </w:rPr>
      </w:pPr>
    </w:p>
    <w:p w:rsidR="00196DF9" w:rsidRDefault="00196DF9" w:rsidP="00C6158B">
      <w:pPr>
        <w:jc w:val="both"/>
        <w:rPr>
          <w:b/>
          <w:sz w:val="22"/>
          <w:szCs w:val="22"/>
        </w:rPr>
      </w:pPr>
    </w:p>
    <w:p w:rsidR="00C6158B" w:rsidRDefault="00196DF9" w:rsidP="00C6158B">
      <w:pPr>
        <w:jc w:val="both"/>
        <w:rPr>
          <w:b/>
          <w:sz w:val="22"/>
          <w:szCs w:val="22"/>
        </w:rPr>
      </w:pPr>
      <w:r>
        <w:rPr>
          <w:b/>
          <w:sz w:val="22"/>
          <w:szCs w:val="22"/>
        </w:rPr>
        <w:t>12</w:t>
      </w:r>
      <w:r w:rsidR="00C6158B">
        <w:rPr>
          <w:b/>
          <w:sz w:val="22"/>
          <w:szCs w:val="22"/>
        </w:rPr>
        <w:t>.</w:t>
      </w:r>
      <w:r w:rsidR="00C6158B">
        <w:rPr>
          <w:b/>
          <w:sz w:val="22"/>
          <w:szCs w:val="22"/>
        </w:rPr>
        <w:tab/>
        <w:t>Appendices</w:t>
      </w:r>
    </w:p>
    <w:p w:rsidR="00C6158B" w:rsidRDefault="00C6158B" w:rsidP="00C6158B">
      <w:pPr>
        <w:jc w:val="both"/>
        <w:rPr>
          <w:sz w:val="22"/>
          <w:szCs w:val="22"/>
        </w:rPr>
      </w:pPr>
    </w:p>
    <w:p w:rsidR="00C6158B" w:rsidRPr="00CE1F5B" w:rsidRDefault="00C6158B" w:rsidP="00C6158B">
      <w:pPr>
        <w:jc w:val="both"/>
        <w:rPr>
          <w:color w:val="000000" w:themeColor="text1"/>
          <w:sz w:val="22"/>
          <w:szCs w:val="22"/>
        </w:rPr>
      </w:pPr>
      <w:r w:rsidRPr="00CE1F5B">
        <w:rPr>
          <w:color w:val="000000" w:themeColor="text1"/>
          <w:sz w:val="22"/>
          <w:szCs w:val="22"/>
        </w:rPr>
        <w:t>Appendix 1</w:t>
      </w:r>
      <w:r w:rsidRPr="00CE1F5B">
        <w:rPr>
          <w:color w:val="000000" w:themeColor="text1"/>
          <w:sz w:val="22"/>
          <w:szCs w:val="22"/>
        </w:rPr>
        <w:tab/>
        <w:t>Summary of the Place-Plus system and how this works for different providers</w:t>
      </w:r>
    </w:p>
    <w:p w:rsidR="00CF7030" w:rsidRDefault="00CF7030" w:rsidP="00CF7030">
      <w:pPr>
        <w:jc w:val="both"/>
        <w:rPr>
          <w:color w:val="000000" w:themeColor="text1"/>
          <w:sz w:val="22"/>
          <w:szCs w:val="22"/>
        </w:rPr>
      </w:pPr>
      <w:r>
        <w:rPr>
          <w:color w:val="000000" w:themeColor="text1"/>
          <w:sz w:val="22"/>
          <w:szCs w:val="22"/>
        </w:rPr>
        <w:t>Appendix 2</w:t>
      </w:r>
      <w:r w:rsidRPr="00CE1F5B">
        <w:rPr>
          <w:color w:val="000000" w:themeColor="text1"/>
          <w:sz w:val="22"/>
          <w:szCs w:val="22"/>
        </w:rPr>
        <w:tab/>
        <w:t>Bradford’s</w:t>
      </w:r>
      <w:r>
        <w:rPr>
          <w:color w:val="000000" w:themeColor="text1"/>
          <w:sz w:val="22"/>
          <w:szCs w:val="22"/>
        </w:rPr>
        <w:t xml:space="preserve"> Current</w:t>
      </w:r>
      <w:r w:rsidRPr="00CE1F5B">
        <w:rPr>
          <w:color w:val="000000" w:themeColor="text1"/>
          <w:sz w:val="22"/>
          <w:szCs w:val="22"/>
        </w:rPr>
        <w:t xml:space="preserve"> Pupil-Led Need </w:t>
      </w:r>
      <w:r>
        <w:rPr>
          <w:color w:val="000000" w:themeColor="text1"/>
          <w:sz w:val="22"/>
          <w:szCs w:val="22"/>
        </w:rPr>
        <w:t>Top Up Funding Ranges Model 2019/20</w:t>
      </w:r>
    </w:p>
    <w:p w:rsidR="00CF7030" w:rsidRPr="00DA3FD8" w:rsidRDefault="00CF7030" w:rsidP="00CF7030">
      <w:pPr>
        <w:ind w:left="1440" w:hanging="1440"/>
        <w:jc w:val="both"/>
        <w:rPr>
          <w:sz w:val="22"/>
          <w:szCs w:val="22"/>
        </w:rPr>
      </w:pPr>
      <w:r w:rsidRPr="00DA3FD8">
        <w:rPr>
          <w:sz w:val="22"/>
          <w:szCs w:val="22"/>
        </w:rPr>
        <w:t>Appendix 3</w:t>
      </w:r>
      <w:r w:rsidRPr="00DA3FD8">
        <w:rPr>
          <w:sz w:val="22"/>
          <w:szCs w:val="22"/>
        </w:rPr>
        <w:tab/>
        <w:t xml:space="preserve">Proposed new </w:t>
      </w:r>
      <w:r w:rsidR="004B4608" w:rsidRPr="00DA3FD8">
        <w:rPr>
          <w:sz w:val="22"/>
          <w:szCs w:val="22"/>
        </w:rPr>
        <w:t>Banded</w:t>
      </w:r>
      <w:r w:rsidRPr="00DA3FD8">
        <w:rPr>
          <w:sz w:val="22"/>
          <w:szCs w:val="22"/>
        </w:rPr>
        <w:t xml:space="preserve"> Model for Pupil-Led Need Top Up Funding for implementation at 1 April 2020</w:t>
      </w:r>
    </w:p>
    <w:p w:rsidR="00CF7030" w:rsidRPr="005B181E" w:rsidRDefault="00CF7030" w:rsidP="00C6158B">
      <w:pPr>
        <w:jc w:val="both"/>
        <w:rPr>
          <w:sz w:val="22"/>
          <w:szCs w:val="22"/>
        </w:rPr>
      </w:pPr>
      <w:r w:rsidRPr="005B181E">
        <w:rPr>
          <w:sz w:val="22"/>
          <w:szCs w:val="22"/>
        </w:rPr>
        <w:t>Appendix 4</w:t>
      </w:r>
      <w:r w:rsidRPr="005B181E">
        <w:rPr>
          <w:sz w:val="22"/>
          <w:szCs w:val="22"/>
        </w:rPr>
        <w:tab/>
        <w:t>Technical Annex (including Setting-Led Need factors)</w:t>
      </w:r>
    </w:p>
    <w:p w:rsidR="00C6158B" w:rsidRPr="005B181E" w:rsidRDefault="00CF7030" w:rsidP="00C6158B">
      <w:pPr>
        <w:jc w:val="both"/>
        <w:rPr>
          <w:sz w:val="22"/>
          <w:szCs w:val="22"/>
        </w:rPr>
      </w:pPr>
      <w:r w:rsidRPr="005B181E">
        <w:rPr>
          <w:sz w:val="22"/>
          <w:szCs w:val="22"/>
        </w:rPr>
        <w:t>Appendix 5</w:t>
      </w:r>
      <w:r w:rsidRPr="005B181E">
        <w:rPr>
          <w:sz w:val="22"/>
          <w:szCs w:val="22"/>
        </w:rPr>
        <w:tab/>
      </w:r>
      <w:r w:rsidR="001C7379">
        <w:rPr>
          <w:sz w:val="22"/>
          <w:szCs w:val="22"/>
        </w:rPr>
        <w:t>Planned Commissioned</w:t>
      </w:r>
      <w:r w:rsidR="00C6158B" w:rsidRPr="005B181E">
        <w:rPr>
          <w:sz w:val="22"/>
          <w:szCs w:val="22"/>
        </w:rPr>
        <w:t xml:space="preserve"> Places</w:t>
      </w:r>
      <w:r w:rsidRPr="005B181E">
        <w:rPr>
          <w:sz w:val="22"/>
          <w:szCs w:val="22"/>
        </w:rPr>
        <w:t xml:space="preserve"> 2020/21</w:t>
      </w:r>
      <w:r w:rsidR="00C6158B" w:rsidRPr="005B181E">
        <w:rPr>
          <w:sz w:val="22"/>
          <w:szCs w:val="22"/>
        </w:rPr>
        <w:t xml:space="preserve"> (Bradford-located settings)</w:t>
      </w:r>
    </w:p>
    <w:p w:rsidR="00C6158B" w:rsidRPr="009416E9" w:rsidRDefault="00897157" w:rsidP="00C6158B">
      <w:pPr>
        <w:jc w:val="both"/>
        <w:rPr>
          <w:sz w:val="22"/>
          <w:szCs w:val="22"/>
        </w:rPr>
      </w:pPr>
      <w:r w:rsidRPr="009416E9">
        <w:rPr>
          <w:sz w:val="22"/>
          <w:szCs w:val="22"/>
        </w:rPr>
        <w:t>Appendix 6</w:t>
      </w:r>
      <w:r w:rsidR="00C6158B" w:rsidRPr="009416E9">
        <w:rPr>
          <w:sz w:val="22"/>
          <w:szCs w:val="22"/>
        </w:rPr>
        <w:tab/>
        <w:t>Consultation Responses Form</w:t>
      </w:r>
    </w:p>
    <w:p w:rsidR="00C6158B" w:rsidRDefault="00C6158B" w:rsidP="001B416B">
      <w:pPr>
        <w:jc w:val="both"/>
        <w:rPr>
          <w:sz w:val="22"/>
          <w:szCs w:val="22"/>
        </w:rPr>
      </w:pPr>
    </w:p>
    <w:p w:rsidR="00C6158B" w:rsidRDefault="00C6158B" w:rsidP="001B416B">
      <w:pPr>
        <w:jc w:val="both"/>
        <w:rPr>
          <w:sz w:val="22"/>
          <w:szCs w:val="22"/>
        </w:rPr>
      </w:pPr>
    </w:p>
    <w:p w:rsidR="00C6158B" w:rsidRDefault="00C6158B" w:rsidP="001B416B">
      <w:pPr>
        <w:jc w:val="both"/>
        <w:rPr>
          <w:sz w:val="22"/>
          <w:szCs w:val="22"/>
        </w:rPr>
      </w:pPr>
    </w:p>
    <w:p w:rsidR="00C6158B" w:rsidRDefault="00C6158B" w:rsidP="001B416B">
      <w:pPr>
        <w:jc w:val="both"/>
        <w:rPr>
          <w:sz w:val="22"/>
          <w:szCs w:val="22"/>
        </w:rPr>
      </w:pPr>
    </w:p>
    <w:p w:rsidR="00395FE8" w:rsidRDefault="00395FE8"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AC5161" w:rsidRDefault="00AC5161"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5A63FC" w:rsidRDefault="005A63FC" w:rsidP="005D26FD">
      <w:pPr>
        <w:rPr>
          <w:b/>
          <w:sz w:val="22"/>
          <w:szCs w:val="22"/>
        </w:rPr>
        <w:sectPr w:rsidR="005A63FC" w:rsidSect="00ED7708">
          <w:footerReference w:type="even" r:id="rId13"/>
          <w:footerReference w:type="default" r:id="rId14"/>
          <w:pgSz w:w="11906" w:h="16838"/>
          <w:pgMar w:top="624" w:right="624" w:bottom="624" w:left="624" w:header="709" w:footer="709" w:gutter="0"/>
          <w:cols w:space="708"/>
          <w:docGrid w:linePitch="360"/>
        </w:sectPr>
      </w:pPr>
    </w:p>
    <w:p w:rsidR="00395FE8" w:rsidRPr="00716C50" w:rsidRDefault="00B73BBE" w:rsidP="00716C50">
      <w:pPr>
        <w:jc w:val="center"/>
        <w:rPr>
          <w:b/>
          <w:sz w:val="22"/>
          <w:szCs w:val="22"/>
        </w:rPr>
      </w:pPr>
      <w:r w:rsidRPr="00716C50">
        <w:rPr>
          <w:b/>
          <w:sz w:val="22"/>
          <w:szCs w:val="22"/>
        </w:rPr>
        <w:t xml:space="preserve">Appendix 1 –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rsidR="00395FE8" w:rsidRDefault="00395FE8" w:rsidP="001B416B">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rsidTr="004D4AED">
        <w:tc>
          <w:tcPr>
            <w:tcW w:w="2376" w:type="dxa"/>
          </w:tcPr>
          <w:p w:rsidR="00B73BBE" w:rsidRPr="007A178E" w:rsidRDefault="00B73BBE" w:rsidP="008D56E1">
            <w:pPr>
              <w:rPr>
                <w:b/>
                <w:sz w:val="22"/>
                <w:szCs w:val="22"/>
              </w:rPr>
            </w:pPr>
          </w:p>
        </w:tc>
        <w:tc>
          <w:tcPr>
            <w:tcW w:w="2268"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Post-16</w:t>
            </w:r>
          </w:p>
        </w:tc>
        <w:tc>
          <w:tcPr>
            <w:tcW w:w="2126" w:type="dxa"/>
          </w:tcPr>
          <w:p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rsidR="00B73BBE" w:rsidRPr="007A178E" w:rsidRDefault="00B73BBE" w:rsidP="001B416B">
            <w:pPr>
              <w:jc w:val="both"/>
              <w:rPr>
                <w:b/>
                <w:sz w:val="22"/>
                <w:szCs w:val="22"/>
              </w:rPr>
            </w:pPr>
          </w:p>
        </w:tc>
        <w:tc>
          <w:tcPr>
            <w:tcW w:w="1985" w:type="dxa"/>
          </w:tcPr>
          <w:p w:rsidR="00B73BBE" w:rsidRPr="007A178E" w:rsidRDefault="00B73BBE" w:rsidP="001B416B">
            <w:pPr>
              <w:jc w:val="both"/>
              <w:rPr>
                <w:b/>
                <w:sz w:val="22"/>
                <w:szCs w:val="22"/>
              </w:rPr>
            </w:pPr>
          </w:p>
        </w:tc>
      </w:tr>
      <w:tr w:rsidR="00B73BBE" w:rsidTr="004D4AED">
        <w:tc>
          <w:tcPr>
            <w:tcW w:w="2376" w:type="dxa"/>
          </w:tcPr>
          <w:p w:rsidR="00B73BBE" w:rsidRPr="007A178E" w:rsidRDefault="007A178E" w:rsidP="008D56E1">
            <w:pPr>
              <w:rPr>
                <w:b/>
                <w:sz w:val="22"/>
                <w:szCs w:val="22"/>
              </w:rPr>
            </w:pPr>
            <w:r w:rsidRPr="007A178E">
              <w:rPr>
                <w:b/>
                <w:sz w:val="22"/>
                <w:szCs w:val="22"/>
              </w:rPr>
              <w:t>Type of Provision</w:t>
            </w:r>
          </w:p>
        </w:tc>
        <w:tc>
          <w:tcPr>
            <w:tcW w:w="2268" w:type="dxa"/>
          </w:tcPr>
          <w:p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rsidR="00B73BBE" w:rsidRPr="007A178E" w:rsidRDefault="007A178E" w:rsidP="007A178E">
            <w:pPr>
              <w:rPr>
                <w:b/>
                <w:sz w:val="22"/>
                <w:szCs w:val="22"/>
              </w:rPr>
            </w:pPr>
            <w:r w:rsidRPr="007A178E">
              <w:rPr>
                <w:b/>
                <w:sz w:val="22"/>
                <w:szCs w:val="22"/>
              </w:rPr>
              <w:t>Place Funding</w:t>
            </w:r>
          </w:p>
        </w:tc>
        <w:tc>
          <w:tcPr>
            <w:tcW w:w="2126"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rsidR="00B73BBE" w:rsidRPr="007A178E" w:rsidRDefault="007A178E" w:rsidP="007A178E">
            <w:pPr>
              <w:rPr>
                <w:b/>
                <w:sz w:val="22"/>
                <w:szCs w:val="22"/>
              </w:rPr>
            </w:pPr>
            <w:r w:rsidRPr="007A178E">
              <w:rPr>
                <w:b/>
                <w:sz w:val="22"/>
                <w:szCs w:val="22"/>
              </w:rPr>
              <w:t>Setting-Led Need Factors</w:t>
            </w:r>
          </w:p>
        </w:tc>
        <w:tc>
          <w:tcPr>
            <w:tcW w:w="1985" w:type="dxa"/>
          </w:tcPr>
          <w:p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rsidTr="004D4AED">
        <w:tc>
          <w:tcPr>
            <w:tcW w:w="2376" w:type="dxa"/>
          </w:tcPr>
          <w:p w:rsidR="00B73BBE" w:rsidRDefault="008D56E1" w:rsidP="008D56E1">
            <w:pPr>
              <w:rPr>
                <w:sz w:val="22"/>
                <w:szCs w:val="22"/>
              </w:rPr>
            </w:pPr>
            <w:r w:rsidRPr="00677053">
              <w:rPr>
                <w:b/>
                <w:sz w:val="22"/>
                <w:szCs w:val="22"/>
              </w:rPr>
              <w:t>Mainstream primary &amp; secondary</w:t>
            </w:r>
            <w:r>
              <w:rPr>
                <w:sz w:val="22"/>
                <w:szCs w:val="22"/>
              </w:rPr>
              <w:t xml:space="preserve"> (</w:t>
            </w:r>
            <w:r w:rsidR="00722E97">
              <w:rPr>
                <w:sz w:val="22"/>
                <w:szCs w:val="22"/>
              </w:rPr>
              <w:t xml:space="preserve">maintained </w:t>
            </w:r>
            <w:r>
              <w:rPr>
                <w:sz w:val="22"/>
                <w:szCs w:val="22"/>
              </w:rPr>
              <w:t>schools, academies and free school</w:t>
            </w:r>
            <w:r w:rsidR="00893C44">
              <w:rPr>
                <w:sz w:val="22"/>
                <w:szCs w:val="22"/>
              </w:rPr>
              <w:t>s)</w:t>
            </w:r>
          </w:p>
        </w:tc>
        <w:tc>
          <w:tcPr>
            <w:tcW w:w="2268" w:type="dxa"/>
          </w:tcPr>
          <w:p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AC7860">
              <w:rPr>
                <w:sz w:val="22"/>
                <w:szCs w:val="22"/>
              </w:rPr>
              <w:t>.</w:t>
            </w:r>
          </w:p>
          <w:p w:rsidR="00173952" w:rsidRDefault="00173952" w:rsidP="00AC7860">
            <w:pPr>
              <w:rPr>
                <w:sz w:val="22"/>
                <w:szCs w:val="22"/>
              </w:rPr>
            </w:pPr>
          </w:p>
          <w:p w:rsidR="00AC7860" w:rsidRDefault="00173952" w:rsidP="00AC7860">
            <w:pPr>
              <w:rPr>
                <w:sz w:val="22"/>
                <w:szCs w:val="22"/>
              </w:rPr>
            </w:pPr>
            <w:r>
              <w:rPr>
                <w:sz w:val="22"/>
                <w:szCs w:val="22"/>
              </w:rPr>
              <w:t xml:space="preserve">Element 2 - </w:t>
            </w:r>
          </w:p>
          <w:p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rsidR="00E64CBB" w:rsidRDefault="00E64CBB" w:rsidP="00AC7860">
            <w:pPr>
              <w:rPr>
                <w:sz w:val="22"/>
                <w:szCs w:val="22"/>
              </w:rPr>
            </w:pPr>
          </w:p>
          <w:p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F47E8F">
              <w:rPr>
                <w:sz w:val="22"/>
                <w:szCs w:val="22"/>
              </w:rPr>
              <w:t>a</w:t>
            </w:r>
            <w:r w:rsidR="00722E97">
              <w:rPr>
                <w:sz w:val="22"/>
                <w:szCs w:val="22"/>
              </w:rPr>
              <w:t>ppendix 4</w:t>
            </w:r>
            <w:r w:rsidR="00A2474E">
              <w:rPr>
                <w:sz w:val="22"/>
                <w:szCs w:val="22"/>
              </w:rPr>
              <w:t>)</w:t>
            </w:r>
            <w:r>
              <w:rPr>
                <w:sz w:val="22"/>
                <w:szCs w:val="22"/>
              </w:rPr>
              <w:t>.</w:t>
            </w:r>
          </w:p>
          <w:p w:rsidR="00AB1B5C" w:rsidRDefault="00AB1B5C" w:rsidP="00AC7860">
            <w:pPr>
              <w:rPr>
                <w:sz w:val="22"/>
                <w:szCs w:val="22"/>
              </w:rPr>
            </w:pPr>
          </w:p>
        </w:tc>
        <w:tc>
          <w:tcPr>
            <w:tcW w:w="2410" w:type="dxa"/>
          </w:tcPr>
          <w:p w:rsidR="00B73BBE" w:rsidRDefault="00AC7860" w:rsidP="00AC7860">
            <w:pPr>
              <w:rPr>
                <w:sz w:val="22"/>
                <w:szCs w:val="22"/>
              </w:rPr>
            </w:pPr>
            <w:r>
              <w:rPr>
                <w:sz w:val="22"/>
                <w:szCs w:val="22"/>
              </w:rPr>
              <w:t>Agreed per-pupil top up paid by the commissioning local authority.</w:t>
            </w:r>
          </w:p>
          <w:p w:rsidR="00AC7860" w:rsidRDefault="00AC7860" w:rsidP="00AC7860">
            <w:pPr>
              <w:rPr>
                <w:sz w:val="22"/>
                <w:szCs w:val="22"/>
              </w:rPr>
            </w:pPr>
          </w:p>
          <w:p w:rsidR="00AC7860" w:rsidRDefault="00AC7860" w:rsidP="00AC7860">
            <w:pPr>
              <w:rPr>
                <w:sz w:val="22"/>
                <w:szCs w:val="22"/>
              </w:rPr>
            </w:pPr>
            <w:r>
              <w:rPr>
                <w:sz w:val="22"/>
                <w:szCs w:val="22"/>
              </w:rPr>
              <w:t>Allocated in ‘real time’ during the year.</w:t>
            </w:r>
            <w:r w:rsidR="00926891">
              <w:rPr>
                <w:sz w:val="22"/>
                <w:szCs w:val="22"/>
              </w:rPr>
              <w:t xml:space="preserve"> </w:t>
            </w:r>
            <w:r w:rsidR="00FD3D0F">
              <w:rPr>
                <w:sz w:val="22"/>
                <w:szCs w:val="22"/>
              </w:rPr>
              <w:t>Changes</w:t>
            </w:r>
            <w:r w:rsidR="00926891">
              <w:rPr>
                <w:sz w:val="22"/>
                <w:szCs w:val="22"/>
              </w:rPr>
              <w:t xml:space="preserve"> for starters and leavers.</w:t>
            </w:r>
          </w:p>
          <w:p w:rsidR="00AC7860" w:rsidRDefault="00AC7860" w:rsidP="00AC7860">
            <w:pPr>
              <w:rPr>
                <w:sz w:val="22"/>
                <w:szCs w:val="22"/>
              </w:rPr>
            </w:pPr>
          </w:p>
          <w:p w:rsidR="00893C44" w:rsidRDefault="00AC7860" w:rsidP="00AC7860">
            <w:pPr>
              <w:rPr>
                <w:sz w:val="22"/>
                <w:szCs w:val="22"/>
              </w:rPr>
            </w:pPr>
            <w:r>
              <w:rPr>
                <w:sz w:val="22"/>
                <w:szCs w:val="22"/>
              </w:rPr>
              <w:t xml:space="preserve">Bradford </w:t>
            </w:r>
            <w:r w:rsidR="00893C44">
              <w:rPr>
                <w:sz w:val="22"/>
                <w:szCs w:val="22"/>
              </w:rPr>
              <w:t xml:space="preserve">currently </w:t>
            </w:r>
            <w:r>
              <w:rPr>
                <w:sz w:val="22"/>
                <w:szCs w:val="22"/>
              </w:rPr>
              <w:t xml:space="preserve">uses a Ranges </w:t>
            </w:r>
            <w:r w:rsidR="00A2474E">
              <w:rPr>
                <w:sz w:val="22"/>
                <w:szCs w:val="22"/>
              </w:rPr>
              <w:t xml:space="preserve">Model (see </w:t>
            </w:r>
            <w:r w:rsidR="00F47E8F">
              <w:rPr>
                <w:sz w:val="22"/>
                <w:szCs w:val="22"/>
              </w:rPr>
              <w:t>a</w:t>
            </w:r>
            <w:r w:rsidR="00893C44">
              <w:rPr>
                <w:sz w:val="22"/>
                <w:szCs w:val="22"/>
              </w:rPr>
              <w:t>ppendix 2</w:t>
            </w:r>
            <w:r>
              <w:rPr>
                <w:sz w:val="22"/>
                <w:szCs w:val="22"/>
              </w:rPr>
              <w:t>).</w:t>
            </w:r>
            <w:r w:rsidR="00893C44">
              <w:rPr>
                <w:sz w:val="22"/>
                <w:szCs w:val="22"/>
              </w:rPr>
              <w:t xml:space="preserve"> Proposed to move to a new Banded Model at April 2020 (see appendix 3).</w:t>
            </w:r>
          </w:p>
          <w:p w:rsidR="000A6674" w:rsidRDefault="000A6674" w:rsidP="00AC7860">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AC7860">
            <w:pPr>
              <w:rPr>
                <w:sz w:val="22"/>
                <w:szCs w:val="22"/>
              </w:rPr>
            </w:pPr>
          </w:p>
        </w:tc>
        <w:tc>
          <w:tcPr>
            <w:tcW w:w="2410" w:type="dxa"/>
          </w:tcPr>
          <w:p w:rsidR="00B73BBE" w:rsidRDefault="00DA6EC4" w:rsidP="00AC7860">
            <w:pPr>
              <w:rPr>
                <w:sz w:val="22"/>
                <w:szCs w:val="22"/>
              </w:rPr>
            </w:pPr>
            <w:r>
              <w:rPr>
                <w:sz w:val="22"/>
                <w:szCs w:val="22"/>
              </w:rPr>
              <w:t>Element 1 (based on the 16-19 national funding formula) plus Element 2 (£6,000) based on t</w:t>
            </w:r>
            <w:r w:rsidR="00770C2F">
              <w:rPr>
                <w:sz w:val="22"/>
                <w:szCs w:val="22"/>
              </w:rPr>
              <w:t>he number of places to be commissioned</w:t>
            </w:r>
            <w:r>
              <w:rPr>
                <w:sz w:val="22"/>
                <w:szCs w:val="22"/>
              </w:rPr>
              <w:t>.</w:t>
            </w:r>
          </w:p>
        </w:tc>
        <w:tc>
          <w:tcPr>
            <w:tcW w:w="2126" w:type="dxa"/>
          </w:tcPr>
          <w:p w:rsidR="00DA6EC4" w:rsidRDefault="00DA6EC4" w:rsidP="00DA6EC4">
            <w:pPr>
              <w:rPr>
                <w:sz w:val="22"/>
                <w:szCs w:val="22"/>
              </w:rPr>
            </w:pPr>
            <w:r>
              <w:rPr>
                <w:sz w:val="22"/>
                <w:szCs w:val="22"/>
              </w:rPr>
              <w:t>Agreed per-pupil top up paid by the commissioning local authority.</w:t>
            </w:r>
          </w:p>
          <w:p w:rsidR="00DA6EC4" w:rsidRDefault="00DA6EC4" w:rsidP="00DA6EC4">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DA6EC4" w:rsidRDefault="00DA6EC4" w:rsidP="00DA6EC4">
            <w:pPr>
              <w:rPr>
                <w:sz w:val="22"/>
                <w:szCs w:val="22"/>
              </w:rPr>
            </w:pPr>
          </w:p>
          <w:p w:rsidR="00B73BBE" w:rsidRDefault="00893C44" w:rsidP="00DA6EC4">
            <w:pPr>
              <w:rPr>
                <w:sz w:val="22"/>
                <w:szCs w:val="22"/>
              </w:rPr>
            </w:pPr>
            <w:r>
              <w:rPr>
                <w:sz w:val="22"/>
                <w:szCs w:val="22"/>
              </w:rPr>
              <w:t>Bradford currently uses a Ranges Model (see appendix 2). Proposed to move to a new Banded Model at April 2020 (see appendix 3).</w:t>
            </w:r>
          </w:p>
          <w:p w:rsidR="000A6674" w:rsidRDefault="000A6674" w:rsidP="00DA6EC4">
            <w:pPr>
              <w:rPr>
                <w:sz w:val="22"/>
                <w:szCs w:val="22"/>
              </w:rPr>
            </w:pPr>
          </w:p>
          <w:p w:rsidR="000A6674" w:rsidRDefault="000A6674" w:rsidP="000A6674">
            <w:pPr>
              <w:rPr>
                <w:sz w:val="22"/>
                <w:szCs w:val="22"/>
              </w:rPr>
            </w:pPr>
            <w:r>
              <w:rPr>
                <w:sz w:val="22"/>
                <w:szCs w:val="22"/>
              </w:rPr>
              <w:t>The top up funding is allocated to and retained by the school.</w:t>
            </w:r>
          </w:p>
          <w:p w:rsidR="000A6674" w:rsidRDefault="000A6674" w:rsidP="00DA6EC4">
            <w:pPr>
              <w:rPr>
                <w:sz w:val="22"/>
                <w:szCs w:val="22"/>
              </w:rPr>
            </w:pPr>
          </w:p>
        </w:tc>
        <w:tc>
          <w:tcPr>
            <w:tcW w:w="2126" w:type="dxa"/>
          </w:tcPr>
          <w:p w:rsidR="00B73BBE" w:rsidRDefault="00DA6EC4" w:rsidP="00AC7860">
            <w:pPr>
              <w:rPr>
                <w:sz w:val="22"/>
                <w:szCs w:val="22"/>
              </w:rPr>
            </w:pPr>
            <w:r>
              <w:rPr>
                <w:sz w:val="22"/>
                <w:szCs w:val="22"/>
              </w:rPr>
              <w:t>None.</w:t>
            </w:r>
          </w:p>
        </w:tc>
        <w:tc>
          <w:tcPr>
            <w:tcW w:w="1985" w:type="dxa"/>
          </w:tcPr>
          <w:p w:rsidR="00B73BBE" w:rsidRDefault="00DA6EC4" w:rsidP="00AC7860">
            <w:pPr>
              <w:rPr>
                <w:sz w:val="22"/>
                <w:szCs w:val="22"/>
              </w:rPr>
            </w:pPr>
            <w:r>
              <w:rPr>
                <w:sz w:val="22"/>
                <w:szCs w:val="22"/>
              </w:rPr>
              <w:t>SE</w:t>
            </w:r>
            <w:r w:rsidR="00F47E8F">
              <w:rPr>
                <w:sz w:val="22"/>
                <w:szCs w:val="22"/>
              </w:rPr>
              <w:t xml:space="preserve">ND Funding </w:t>
            </w:r>
            <w:r w:rsidR="00C66383">
              <w:rPr>
                <w:sz w:val="22"/>
                <w:szCs w:val="22"/>
              </w:rPr>
              <w:t>Floor for</w:t>
            </w:r>
            <w:r w:rsidR="00770C2F">
              <w:rPr>
                <w:sz w:val="22"/>
                <w:szCs w:val="22"/>
              </w:rPr>
              <w:t xml:space="preserve"> pre-16 provision </w:t>
            </w:r>
            <w:r w:rsidR="00F47E8F">
              <w:rPr>
                <w:sz w:val="22"/>
                <w:szCs w:val="22"/>
              </w:rPr>
              <w:t>(see a</w:t>
            </w:r>
            <w:r w:rsidR="00893C44">
              <w:rPr>
                <w:sz w:val="22"/>
                <w:szCs w:val="22"/>
              </w:rPr>
              <w:t>ppendix 4</w:t>
            </w:r>
            <w:r>
              <w:rPr>
                <w:sz w:val="22"/>
                <w:szCs w:val="22"/>
              </w:rPr>
              <w:t>).</w:t>
            </w:r>
          </w:p>
          <w:p w:rsidR="00677053" w:rsidRDefault="00677053" w:rsidP="00AC7860">
            <w:pPr>
              <w:rPr>
                <w:sz w:val="22"/>
                <w:szCs w:val="22"/>
              </w:rPr>
            </w:pPr>
          </w:p>
          <w:p w:rsidR="00651453" w:rsidRDefault="00651453" w:rsidP="00AC7860">
            <w:pPr>
              <w:rPr>
                <w:sz w:val="22"/>
                <w:szCs w:val="22"/>
              </w:rPr>
            </w:pPr>
          </w:p>
          <w:p w:rsidR="00651453" w:rsidRDefault="00651453" w:rsidP="00AC7860">
            <w:pPr>
              <w:rPr>
                <w:sz w:val="22"/>
                <w:szCs w:val="22"/>
              </w:rPr>
            </w:pPr>
          </w:p>
        </w:tc>
      </w:tr>
      <w:tr w:rsidR="000C6B6C" w:rsidTr="004D4AED">
        <w:tc>
          <w:tcPr>
            <w:tcW w:w="2376" w:type="dxa"/>
          </w:tcPr>
          <w:p w:rsidR="000C6B6C" w:rsidRDefault="000C6B6C" w:rsidP="008D56E1">
            <w:pPr>
              <w:rPr>
                <w:sz w:val="22"/>
                <w:szCs w:val="22"/>
              </w:rPr>
            </w:pPr>
            <w:r w:rsidRPr="00677053">
              <w:rPr>
                <w:b/>
                <w:sz w:val="22"/>
                <w:szCs w:val="22"/>
              </w:rPr>
              <w:t>M</w:t>
            </w:r>
            <w:r w:rsidR="009F5C48" w:rsidRPr="00677053">
              <w:rPr>
                <w:b/>
                <w:sz w:val="22"/>
                <w:szCs w:val="22"/>
              </w:rPr>
              <w:t>ainstream early years</w:t>
            </w:r>
            <w:r w:rsidR="009F5C48">
              <w:rPr>
                <w:sz w:val="22"/>
                <w:szCs w:val="22"/>
              </w:rPr>
              <w:t xml:space="preserve"> (</w:t>
            </w:r>
            <w:r w:rsidR="00EA10F0">
              <w:rPr>
                <w:sz w:val="22"/>
                <w:szCs w:val="22"/>
              </w:rPr>
              <w:t xml:space="preserve">nursery </w:t>
            </w:r>
            <w:r w:rsidR="009F5C48">
              <w:rPr>
                <w:sz w:val="22"/>
                <w:szCs w:val="22"/>
              </w:rPr>
              <w:t>schools,</w:t>
            </w:r>
            <w:r w:rsidR="00926891">
              <w:rPr>
                <w:sz w:val="22"/>
                <w:szCs w:val="22"/>
              </w:rPr>
              <w:t xml:space="preserve"> </w:t>
            </w:r>
            <w:r>
              <w:rPr>
                <w:sz w:val="22"/>
                <w:szCs w:val="22"/>
              </w:rPr>
              <w:t>classes and PVI</w:t>
            </w:r>
            <w:r w:rsidR="00EA10F0">
              <w:rPr>
                <w:sz w:val="22"/>
                <w:szCs w:val="22"/>
              </w:rPr>
              <w:t xml:space="preserve"> providers</w:t>
            </w:r>
            <w:r>
              <w:rPr>
                <w:sz w:val="22"/>
                <w:szCs w:val="22"/>
              </w:rPr>
              <w:t>)</w:t>
            </w:r>
          </w:p>
        </w:tc>
        <w:tc>
          <w:tcPr>
            <w:tcW w:w="2268" w:type="dxa"/>
          </w:tcPr>
          <w:p w:rsidR="000C6B6C" w:rsidRDefault="00B22A7E" w:rsidP="00AC7860">
            <w:pPr>
              <w:rPr>
                <w:sz w:val="22"/>
                <w:szCs w:val="22"/>
              </w:rPr>
            </w:pPr>
            <w:r>
              <w:rPr>
                <w:sz w:val="22"/>
                <w:szCs w:val="22"/>
              </w:rPr>
              <w:t>Element 1</w:t>
            </w:r>
            <w:r w:rsidR="005D4E9A">
              <w:rPr>
                <w:sz w:val="22"/>
                <w:szCs w:val="22"/>
              </w:rPr>
              <w:t xml:space="preserve"> is</w:t>
            </w:r>
            <w:r>
              <w:rPr>
                <w:sz w:val="22"/>
                <w:szCs w:val="22"/>
              </w:rPr>
              <w:t xml:space="preserve"> included within the per-pupil funding allocated through the local EYSFF.</w:t>
            </w:r>
          </w:p>
          <w:p w:rsidR="00B22A7E" w:rsidRDefault="00B22A7E" w:rsidP="00AC7860">
            <w:pPr>
              <w:rPr>
                <w:sz w:val="22"/>
                <w:szCs w:val="22"/>
              </w:rPr>
            </w:pPr>
          </w:p>
          <w:p w:rsidR="00B22A7E" w:rsidRDefault="00252C11" w:rsidP="00AC7860">
            <w:pPr>
              <w:rPr>
                <w:sz w:val="22"/>
                <w:szCs w:val="22"/>
              </w:rPr>
            </w:pPr>
            <w:r>
              <w:rPr>
                <w:sz w:val="22"/>
                <w:szCs w:val="22"/>
              </w:rPr>
              <w:t>Early Years SEND Inclusion Grant</w:t>
            </w:r>
            <w:r w:rsidR="00B22A7E">
              <w:rPr>
                <w:sz w:val="22"/>
                <w:szCs w:val="22"/>
              </w:rPr>
              <w:t xml:space="preserve"> allocates Element 2 (£6,000) for eligible low level emerging SEND</w:t>
            </w:r>
            <w:r w:rsidR="00C66383">
              <w:rPr>
                <w:sz w:val="22"/>
                <w:szCs w:val="22"/>
              </w:rPr>
              <w:t xml:space="preserve"> (non-EHCP)</w:t>
            </w:r>
            <w:r w:rsidR="003173FD">
              <w:rPr>
                <w:sz w:val="22"/>
                <w:szCs w:val="22"/>
              </w:rPr>
              <w:t xml:space="preserve"> as agreed by Panel</w:t>
            </w:r>
            <w:r w:rsidR="00B22A7E">
              <w:rPr>
                <w:sz w:val="22"/>
                <w:szCs w:val="22"/>
              </w:rPr>
              <w:t>.</w:t>
            </w:r>
          </w:p>
        </w:tc>
        <w:tc>
          <w:tcPr>
            <w:tcW w:w="2410" w:type="dxa"/>
          </w:tcPr>
          <w:p w:rsidR="00B22A7E" w:rsidRDefault="00B22A7E" w:rsidP="00B22A7E">
            <w:pPr>
              <w:rPr>
                <w:sz w:val="22"/>
                <w:szCs w:val="22"/>
              </w:rPr>
            </w:pPr>
            <w:r>
              <w:rPr>
                <w:sz w:val="22"/>
                <w:szCs w:val="22"/>
              </w:rPr>
              <w:t>Agreed per-pupil top up paid by the commissioning local authority.</w:t>
            </w:r>
          </w:p>
          <w:p w:rsidR="00B22A7E" w:rsidRDefault="00B22A7E" w:rsidP="00B22A7E">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926891" w:rsidRDefault="00EA10F0" w:rsidP="00B22A7E">
            <w:pPr>
              <w:rPr>
                <w:sz w:val="22"/>
                <w:szCs w:val="22"/>
              </w:rPr>
            </w:pPr>
            <w:r>
              <w:rPr>
                <w:sz w:val="22"/>
                <w:szCs w:val="22"/>
              </w:rPr>
              <w:t>Bradford currently uses a Ranges Model (see appendix 2). Proposed to move to a new Banded Model at April 2020 (see appendix 3).</w:t>
            </w:r>
          </w:p>
          <w:p w:rsidR="002D7067" w:rsidRDefault="002D7067" w:rsidP="00B22A7E">
            <w:pPr>
              <w:rPr>
                <w:sz w:val="22"/>
                <w:szCs w:val="22"/>
              </w:rPr>
            </w:pPr>
          </w:p>
          <w:p w:rsidR="002D7067" w:rsidRDefault="002D7067" w:rsidP="002D7067">
            <w:pPr>
              <w:rPr>
                <w:sz w:val="22"/>
                <w:szCs w:val="22"/>
              </w:rPr>
            </w:pPr>
            <w:r>
              <w:rPr>
                <w:sz w:val="22"/>
                <w:szCs w:val="22"/>
              </w:rPr>
              <w:t>The top up funding is allocated to and retained by the school or provider.</w:t>
            </w:r>
          </w:p>
          <w:p w:rsidR="00EA10F0" w:rsidRDefault="00EA10F0" w:rsidP="00B22A7E">
            <w:pPr>
              <w:rPr>
                <w:sz w:val="22"/>
                <w:szCs w:val="22"/>
              </w:rPr>
            </w:pPr>
          </w:p>
        </w:tc>
        <w:tc>
          <w:tcPr>
            <w:tcW w:w="2410"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None.</w:t>
            </w:r>
          </w:p>
        </w:tc>
        <w:tc>
          <w:tcPr>
            <w:tcW w:w="1985" w:type="dxa"/>
          </w:tcPr>
          <w:p w:rsidR="000C6B6C" w:rsidRDefault="00B22A7E" w:rsidP="00AC7860">
            <w:pPr>
              <w:rPr>
                <w:sz w:val="22"/>
                <w:szCs w:val="22"/>
              </w:rPr>
            </w:pPr>
            <w:r>
              <w:rPr>
                <w:sz w:val="22"/>
                <w:szCs w:val="22"/>
              </w:rPr>
              <w:t>Early Years SEND Inclusion</w:t>
            </w:r>
            <w:r w:rsidR="00252C11">
              <w:rPr>
                <w:sz w:val="22"/>
                <w:szCs w:val="22"/>
              </w:rPr>
              <w:t xml:space="preserve"> Grant</w:t>
            </w:r>
            <w:r>
              <w:rPr>
                <w:sz w:val="22"/>
                <w:szCs w:val="22"/>
              </w:rPr>
              <w:t>.</w:t>
            </w:r>
          </w:p>
          <w:p w:rsidR="00B22A7E" w:rsidRDefault="00B22A7E" w:rsidP="00AC7860">
            <w:pPr>
              <w:rPr>
                <w:sz w:val="22"/>
                <w:szCs w:val="22"/>
              </w:rPr>
            </w:pPr>
          </w:p>
          <w:p w:rsidR="00B22A7E" w:rsidRDefault="00B22A7E" w:rsidP="00AC7860">
            <w:pPr>
              <w:rPr>
                <w:sz w:val="22"/>
                <w:szCs w:val="22"/>
              </w:rPr>
            </w:pPr>
            <w:r>
              <w:rPr>
                <w:sz w:val="22"/>
                <w:szCs w:val="22"/>
              </w:rPr>
              <w:t>DAF Grant.</w:t>
            </w:r>
          </w:p>
        </w:tc>
      </w:tr>
      <w:tr w:rsidR="00B73BBE" w:rsidTr="004D4AED">
        <w:tc>
          <w:tcPr>
            <w:tcW w:w="2376" w:type="dxa"/>
          </w:tcPr>
          <w:p w:rsidR="00B73BBE" w:rsidRDefault="00973F70" w:rsidP="008D56E1">
            <w:pPr>
              <w:rPr>
                <w:sz w:val="22"/>
                <w:szCs w:val="22"/>
              </w:rPr>
            </w:pPr>
            <w:r w:rsidRPr="00677053">
              <w:rPr>
                <w:b/>
                <w:sz w:val="22"/>
                <w:szCs w:val="22"/>
              </w:rPr>
              <w:t>School-led Resourced Provisions</w:t>
            </w:r>
            <w:r w:rsidR="008D56E1">
              <w:rPr>
                <w:sz w:val="22"/>
                <w:szCs w:val="22"/>
              </w:rPr>
              <w:t xml:space="preserve"> (mainstream primary &amp; secondary)</w:t>
            </w:r>
          </w:p>
          <w:p w:rsidR="00EA10F0" w:rsidRDefault="00EA10F0" w:rsidP="008D56E1">
            <w:pPr>
              <w:rPr>
                <w:sz w:val="22"/>
                <w:szCs w:val="22"/>
              </w:rPr>
            </w:pPr>
          </w:p>
          <w:p w:rsidR="00EA10F0" w:rsidRPr="00252C11" w:rsidRDefault="00EA10F0" w:rsidP="008D56E1">
            <w:pPr>
              <w:rPr>
                <w:i/>
                <w:sz w:val="22"/>
                <w:szCs w:val="22"/>
              </w:rPr>
            </w:pPr>
            <w:r w:rsidRPr="00252C11">
              <w:rPr>
                <w:i/>
                <w:sz w:val="22"/>
                <w:szCs w:val="22"/>
              </w:rPr>
              <w:t>(formerly known as DSPs).</w:t>
            </w:r>
          </w:p>
        </w:tc>
        <w:tc>
          <w:tcPr>
            <w:tcW w:w="2268" w:type="dxa"/>
          </w:tcPr>
          <w:p w:rsidR="00B73BBE" w:rsidRDefault="00841C4B" w:rsidP="00AC7860">
            <w:pPr>
              <w:rPr>
                <w:sz w:val="22"/>
                <w:szCs w:val="22"/>
              </w:rPr>
            </w:pPr>
            <w:r>
              <w:rPr>
                <w:sz w:val="22"/>
                <w:szCs w:val="22"/>
              </w:rPr>
              <w:t>Element</w:t>
            </w:r>
            <w:r w:rsidR="00EA10F0">
              <w:rPr>
                <w:sz w:val="22"/>
                <w:szCs w:val="22"/>
              </w:rPr>
              <w:t>s</w:t>
            </w:r>
            <w:r>
              <w:rPr>
                <w:sz w:val="22"/>
                <w:szCs w:val="22"/>
              </w:rPr>
              <w:t xml:space="preserve"> 1 &amp;</w:t>
            </w:r>
            <w:r w:rsidR="00EA10F0">
              <w:rPr>
                <w:sz w:val="22"/>
                <w:szCs w:val="22"/>
              </w:rPr>
              <w:t xml:space="preserve"> 2 are</w:t>
            </w:r>
            <w:r>
              <w:rPr>
                <w:sz w:val="22"/>
                <w:szCs w:val="22"/>
              </w:rPr>
              <w:t xml:space="preserve"> allocated through a combination of per-pupil funding allocated through the local school</w:t>
            </w:r>
            <w:r w:rsidR="00EA10F0">
              <w:rPr>
                <w:sz w:val="22"/>
                <w:szCs w:val="22"/>
              </w:rPr>
              <w:t>’</w:t>
            </w:r>
            <w:r>
              <w:rPr>
                <w:sz w:val="22"/>
                <w:szCs w:val="22"/>
              </w:rPr>
              <w:t>s funding formula</w:t>
            </w:r>
            <w:r w:rsidR="00EA10F0">
              <w:rPr>
                <w:sz w:val="22"/>
                <w:szCs w:val="22"/>
              </w:rPr>
              <w:t xml:space="preserve"> plus £6,000 per place for places</w:t>
            </w:r>
            <w:r>
              <w:rPr>
                <w:sz w:val="22"/>
                <w:szCs w:val="22"/>
              </w:rPr>
              <w:t xml:space="preserve"> occupied by pupils on roll in October</w:t>
            </w:r>
            <w:r w:rsidR="007A6EE0">
              <w:rPr>
                <w:sz w:val="22"/>
                <w:szCs w:val="22"/>
              </w:rPr>
              <w:t xml:space="preserve"> in the previous year</w:t>
            </w:r>
            <w:r>
              <w:rPr>
                <w:sz w:val="22"/>
                <w:szCs w:val="22"/>
              </w:rPr>
              <w:t xml:space="preserve"> and £10,000 per place for the </w:t>
            </w:r>
            <w:r w:rsidR="00EE6B5C">
              <w:rPr>
                <w:sz w:val="22"/>
                <w:szCs w:val="22"/>
              </w:rPr>
              <w:t>remainder of places agreed to be commissioned</w:t>
            </w:r>
            <w:r>
              <w:rPr>
                <w:sz w:val="22"/>
                <w:szCs w:val="22"/>
              </w:rPr>
              <w:t>.</w:t>
            </w:r>
          </w:p>
          <w:p w:rsidR="00541AF9" w:rsidRDefault="00541AF9" w:rsidP="00AC7860">
            <w:pPr>
              <w:rPr>
                <w:sz w:val="22"/>
                <w:szCs w:val="22"/>
              </w:rPr>
            </w:pPr>
          </w:p>
          <w:p w:rsidR="00541AF9" w:rsidRDefault="00541AF9" w:rsidP="00AC7860">
            <w:pPr>
              <w:rPr>
                <w:sz w:val="22"/>
                <w:szCs w:val="22"/>
              </w:rPr>
            </w:pPr>
            <w:r>
              <w:rPr>
                <w:sz w:val="22"/>
                <w:szCs w:val="22"/>
              </w:rPr>
              <w:t>Both Elements 1 and 2 are retained by the school.</w:t>
            </w:r>
          </w:p>
          <w:p w:rsidR="00E5081E" w:rsidRDefault="00E5081E" w:rsidP="00AC7860">
            <w:pPr>
              <w:rPr>
                <w:sz w:val="22"/>
                <w:szCs w:val="22"/>
              </w:rPr>
            </w:pPr>
          </w:p>
          <w:p w:rsidR="00E5081E" w:rsidRDefault="00E5081E" w:rsidP="00AC7860">
            <w:pPr>
              <w:rPr>
                <w:sz w:val="22"/>
                <w:szCs w:val="22"/>
              </w:rPr>
            </w:pPr>
            <w:r>
              <w:rPr>
                <w:sz w:val="22"/>
                <w:szCs w:val="22"/>
              </w:rPr>
              <w:t>Element 1 is set at a minimum of £4,000 per agreed place.</w:t>
            </w:r>
          </w:p>
          <w:p w:rsidR="00841C4B" w:rsidRDefault="00841C4B" w:rsidP="00AC7860">
            <w:pPr>
              <w:rPr>
                <w:sz w:val="22"/>
                <w:szCs w:val="22"/>
              </w:rPr>
            </w:pPr>
          </w:p>
        </w:tc>
        <w:tc>
          <w:tcPr>
            <w:tcW w:w="2410"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EE6B5C" w:rsidRDefault="00EE6B5C" w:rsidP="00EE6B5C">
            <w:pPr>
              <w:rPr>
                <w:sz w:val="22"/>
                <w:szCs w:val="22"/>
              </w:rPr>
            </w:pPr>
            <w:r>
              <w:rPr>
                <w:sz w:val="22"/>
                <w:szCs w:val="22"/>
              </w:rPr>
              <w:t>Bradford currently uses a Ranges Model (see appendix 2). Proposed to move to a new Banded Model at April 2020 (see appendix 3).</w:t>
            </w:r>
          </w:p>
          <w:p w:rsidR="00B73BBE" w:rsidRDefault="00B73BBE" w:rsidP="00841C4B">
            <w:pPr>
              <w:rPr>
                <w:sz w:val="22"/>
                <w:szCs w:val="22"/>
              </w:rPr>
            </w:pPr>
          </w:p>
          <w:p w:rsidR="00541AF9" w:rsidRDefault="00541AF9" w:rsidP="00541AF9">
            <w:pPr>
              <w:rPr>
                <w:sz w:val="22"/>
                <w:szCs w:val="22"/>
              </w:rPr>
            </w:pPr>
            <w:r>
              <w:rPr>
                <w:sz w:val="22"/>
                <w:szCs w:val="22"/>
              </w:rPr>
              <w:t>The top up funding is allocated to</w:t>
            </w:r>
            <w:r w:rsidR="004F4F14">
              <w:rPr>
                <w:sz w:val="22"/>
                <w:szCs w:val="22"/>
              </w:rPr>
              <w:t xml:space="preserve"> and retained by</w:t>
            </w:r>
            <w:r>
              <w:rPr>
                <w:sz w:val="22"/>
                <w:szCs w:val="22"/>
              </w:rPr>
              <w:t xml:space="preserve"> the school.</w:t>
            </w:r>
          </w:p>
          <w:p w:rsidR="00541AF9" w:rsidRDefault="00541AF9" w:rsidP="00841C4B">
            <w:pPr>
              <w:rPr>
                <w:sz w:val="22"/>
                <w:szCs w:val="22"/>
              </w:rPr>
            </w:pPr>
          </w:p>
        </w:tc>
        <w:tc>
          <w:tcPr>
            <w:tcW w:w="2410" w:type="dxa"/>
          </w:tcPr>
          <w:p w:rsidR="00B73BBE" w:rsidRDefault="00841C4B" w:rsidP="00AC7860">
            <w:pPr>
              <w:rPr>
                <w:sz w:val="22"/>
                <w:szCs w:val="22"/>
              </w:rPr>
            </w:pPr>
            <w:r>
              <w:rPr>
                <w:sz w:val="22"/>
                <w:szCs w:val="22"/>
              </w:rPr>
              <w:t>Element 1 (based on the 16-19 national funding formula) plus Element 2 (£6,000) based on t</w:t>
            </w:r>
            <w:r w:rsidR="00DD27BF">
              <w:rPr>
                <w:sz w:val="22"/>
                <w:szCs w:val="22"/>
              </w:rPr>
              <w:t>he number of places to be commissioned</w:t>
            </w:r>
            <w:r>
              <w:rPr>
                <w:sz w:val="22"/>
                <w:szCs w:val="22"/>
              </w:rPr>
              <w:t>.</w:t>
            </w:r>
          </w:p>
          <w:p w:rsidR="004F4F14" w:rsidRDefault="004F4F14" w:rsidP="00AC7860">
            <w:pPr>
              <w:rPr>
                <w:sz w:val="22"/>
                <w:szCs w:val="22"/>
              </w:rPr>
            </w:pPr>
          </w:p>
          <w:p w:rsidR="004F4F14" w:rsidRDefault="004F4F14" w:rsidP="004F4F14">
            <w:pPr>
              <w:rPr>
                <w:sz w:val="22"/>
                <w:szCs w:val="22"/>
              </w:rPr>
            </w:pPr>
            <w:r>
              <w:rPr>
                <w:sz w:val="22"/>
                <w:szCs w:val="22"/>
              </w:rPr>
              <w:t>Both Elements 1 and 2 are retained by the school.</w:t>
            </w:r>
          </w:p>
          <w:p w:rsidR="004F4F14" w:rsidRDefault="004F4F14" w:rsidP="00AC7860">
            <w:pPr>
              <w:rPr>
                <w:sz w:val="22"/>
                <w:szCs w:val="22"/>
              </w:rPr>
            </w:pPr>
          </w:p>
        </w:tc>
        <w:tc>
          <w:tcPr>
            <w:tcW w:w="2126" w:type="dxa"/>
          </w:tcPr>
          <w:p w:rsidR="00841C4B" w:rsidRDefault="00841C4B" w:rsidP="00841C4B">
            <w:pPr>
              <w:rPr>
                <w:sz w:val="22"/>
                <w:szCs w:val="22"/>
              </w:rPr>
            </w:pPr>
            <w:r>
              <w:rPr>
                <w:sz w:val="22"/>
                <w:szCs w:val="22"/>
              </w:rPr>
              <w:t>Agreed per-pupil top up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DD27BF" w:rsidRDefault="00DD27BF" w:rsidP="00DD27BF">
            <w:pPr>
              <w:rPr>
                <w:sz w:val="22"/>
                <w:szCs w:val="22"/>
              </w:rPr>
            </w:pPr>
            <w:r>
              <w:rPr>
                <w:sz w:val="22"/>
                <w:szCs w:val="22"/>
              </w:rPr>
              <w:t>Bradford currently uses a Ranges Model (see appendix 2). Proposed to move to a new Banded Model at April 2020 (see appendix 3).</w:t>
            </w:r>
          </w:p>
          <w:p w:rsidR="00B73BBE" w:rsidRDefault="00B73BBE" w:rsidP="00841C4B">
            <w:pPr>
              <w:rPr>
                <w:sz w:val="22"/>
                <w:szCs w:val="22"/>
              </w:rPr>
            </w:pPr>
          </w:p>
          <w:p w:rsidR="004F4F14" w:rsidRDefault="004F4F14" w:rsidP="004F4F14">
            <w:pPr>
              <w:rPr>
                <w:sz w:val="22"/>
                <w:szCs w:val="22"/>
              </w:rPr>
            </w:pPr>
            <w:r>
              <w:rPr>
                <w:sz w:val="22"/>
                <w:szCs w:val="22"/>
              </w:rPr>
              <w:t>The top up funding is allocated to and retained by the school.</w:t>
            </w:r>
          </w:p>
          <w:p w:rsidR="004F4F14" w:rsidRDefault="004F4F14" w:rsidP="00841C4B">
            <w:pPr>
              <w:rPr>
                <w:sz w:val="22"/>
                <w:szCs w:val="22"/>
              </w:rPr>
            </w:pPr>
          </w:p>
          <w:p w:rsidR="002D7067" w:rsidRDefault="002D7067" w:rsidP="00841C4B">
            <w:pPr>
              <w:rPr>
                <w:sz w:val="22"/>
                <w:szCs w:val="22"/>
              </w:rPr>
            </w:pPr>
          </w:p>
          <w:p w:rsidR="002D7067" w:rsidRDefault="002D7067" w:rsidP="00841C4B">
            <w:pPr>
              <w:rPr>
                <w:sz w:val="22"/>
                <w:szCs w:val="22"/>
              </w:rPr>
            </w:pPr>
          </w:p>
        </w:tc>
        <w:tc>
          <w:tcPr>
            <w:tcW w:w="2126" w:type="dxa"/>
          </w:tcPr>
          <w:p w:rsidR="00B73BBE" w:rsidRDefault="006A3369" w:rsidP="00AC7860">
            <w:pPr>
              <w:rPr>
                <w:sz w:val="22"/>
                <w:szCs w:val="22"/>
              </w:rPr>
            </w:pPr>
            <w:r>
              <w:rPr>
                <w:sz w:val="22"/>
                <w:szCs w:val="22"/>
              </w:rPr>
              <w:t>Small Setting Protection.</w:t>
            </w:r>
          </w:p>
          <w:p w:rsidR="006A3369" w:rsidRDefault="006A3369" w:rsidP="00AC7860">
            <w:pPr>
              <w:rPr>
                <w:sz w:val="22"/>
                <w:szCs w:val="22"/>
              </w:rPr>
            </w:pPr>
          </w:p>
          <w:p w:rsidR="006A3369" w:rsidRDefault="006A3369" w:rsidP="00AC7860">
            <w:pPr>
              <w:rPr>
                <w:sz w:val="22"/>
                <w:szCs w:val="22"/>
              </w:rPr>
            </w:pPr>
            <w:r>
              <w:rPr>
                <w:sz w:val="22"/>
                <w:szCs w:val="22"/>
              </w:rPr>
              <w:t>3% Cash Budget Protection.</w:t>
            </w:r>
          </w:p>
        </w:tc>
        <w:tc>
          <w:tcPr>
            <w:tcW w:w="1985" w:type="dxa"/>
          </w:tcPr>
          <w:p w:rsidR="00B73BBE" w:rsidRDefault="00E36084" w:rsidP="00AC7860">
            <w:pPr>
              <w:rPr>
                <w:sz w:val="22"/>
                <w:szCs w:val="22"/>
              </w:rPr>
            </w:pPr>
            <w:r>
              <w:rPr>
                <w:sz w:val="22"/>
                <w:szCs w:val="22"/>
              </w:rPr>
              <w:t>None.</w:t>
            </w:r>
          </w:p>
        </w:tc>
      </w:tr>
      <w:tr w:rsidR="00B73BBE" w:rsidTr="004D4AED">
        <w:tc>
          <w:tcPr>
            <w:tcW w:w="2376" w:type="dxa"/>
          </w:tcPr>
          <w:p w:rsidR="00964A10" w:rsidRDefault="00964A10" w:rsidP="008D56E1">
            <w:pPr>
              <w:rPr>
                <w:sz w:val="22"/>
                <w:szCs w:val="22"/>
              </w:rPr>
            </w:pPr>
            <w:r w:rsidRPr="00677053">
              <w:rPr>
                <w:b/>
                <w:sz w:val="22"/>
                <w:szCs w:val="22"/>
              </w:rPr>
              <w:t>Local Authority-led Sensory Need R</w:t>
            </w:r>
            <w:r w:rsidR="00973F70" w:rsidRPr="00677053">
              <w:rPr>
                <w:b/>
                <w:sz w:val="22"/>
                <w:szCs w:val="22"/>
              </w:rPr>
              <w:t>esourced Provisions</w:t>
            </w:r>
            <w:r w:rsidR="008D56E1">
              <w:rPr>
                <w:sz w:val="22"/>
                <w:szCs w:val="22"/>
              </w:rPr>
              <w:t xml:space="preserve"> (mainstream primary &amp; secondary)</w:t>
            </w:r>
            <w:r>
              <w:rPr>
                <w:sz w:val="22"/>
                <w:szCs w:val="22"/>
              </w:rPr>
              <w:t>.</w:t>
            </w:r>
          </w:p>
          <w:p w:rsidR="00964A10" w:rsidRDefault="00964A10" w:rsidP="008D56E1">
            <w:pPr>
              <w:rPr>
                <w:sz w:val="22"/>
                <w:szCs w:val="22"/>
              </w:rPr>
            </w:pPr>
          </w:p>
          <w:p w:rsidR="00964A10" w:rsidRPr="00964A10" w:rsidRDefault="00964A10" w:rsidP="008D56E1">
            <w:pPr>
              <w:rPr>
                <w:i/>
                <w:sz w:val="22"/>
                <w:szCs w:val="22"/>
              </w:rPr>
            </w:pPr>
            <w:r w:rsidRPr="00964A10">
              <w:rPr>
                <w:i/>
                <w:sz w:val="22"/>
                <w:szCs w:val="22"/>
              </w:rPr>
              <w:t>(formerly known as ARCs)</w:t>
            </w:r>
            <w:r>
              <w:rPr>
                <w:i/>
                <w:sz w:val="22"/>
                <w:szCs w:val="22"/>
              </w:rPr>
              <w:t>.</w:t>
            </w:r>
          </w:p>
          <w:p w:rsidR="005A0EA2" w:rsidRDefault="005A0EA2" w:rsidP="008D56E1">
            <w:pPr>
              <w:rPr>
                <w:sz w:val="22"/>
                <w:szCs w:val="22"/>
              </w:rPr>
            </w:pPr>
          </w:p>
          <w:p w:rsidR="005A0EA2" w:rsidRDefault="000C1025" w:rsidP="008D56E1">
            <w:pPr>
              <w:rPr>
                <w:sz w:val="22"/>
                <w:szCs w:val="22"/>
              </w:rPr>
            </w:pPr>
            <w:r>
              <w:rPr>
                <w:sz w:val="22"/>
                <w:szCs w:val="22"/>
              </w:rPr>
              <w:t>.</w:t>
            </w:r>
          </w:p>
        </w:tc>
        <w:tc>
          <w:tcPr>
            <w:tcW w:w="2268" w:type="dxa"/>
          </w:tcPr>
          <w:p w:rsidR="006A3369" w:rsidRDefault="006A3369" w:rsidP="006A3369">
            <w:pPr>
              <w:rPr>
                <w:sz w:val="22"/>
                <w:szCs w:val="22"/>
              </w:rPr>
            </w:pPr>
            <w:r>
              <w:rPr>
                <w:sz w:val="22"/>
                <w:szCs w:val="22"/>
              </w:rPr>
              <w:t>Element</w:t>
            </w:r>
            <w:r w:rsidR="00964A10">
              <w:rPr>
                <w:sz w:val="22"/>
                <w:szCs w:val="22"/>
              </w:rPr>
              <w:t>s 1 &amp; 2 are</w:t>
            </w:r>
            <w:r>
              <w:rPr>
                <w:sz w:val="22"/>
                <w:szCs w:val="22"/>
              </w:rPr>
              <w:t xml:space="preserve"> allocated through a combination of per-pupil funding allocated through the local school</w:t>
            </w:r>
            <w:r w:rsidR="00EA10F0">
              <w:rPr>
                <w:sz w:val="22"/>
                <w:szCs w:val="22"/>
              </w:rPr>
              <w:t>’</w:t>
            </w:r>
            <w:r>
              <w:rPr>
                <w:sz w:val="22"/>
                <w:szCs w:val="22"/>
              </w:rPr>
              <w:t>s funding formula plus £6,000 per place for those occupied by pupils on roll in October</w:t>
            </w:r>
            <w:r w:rsidR="00964A10">
              <w:rPr>
                <w:sz w:val="22"/>
                <w:szCs w:val="22"/>
              </w:rPr>
              <w:t xml:space="preserve"> in the previous year</w:t>
            </w:r>
            <w:r>
              <w:rPr>
                <w:sz w:val="22"/>
                <w:szCs w:val="22"/>
              </w:rPr>
              <w:t xml:space="preserve"> and £10,000 per place for the </w:t>
            </w:r>
            <w:r w:rsidR="00964A10">
              <w:rPr>
                <w:sz w:val="22"/>
                <w:szCs w:val="22"/>
              </w:rPr>
              <w:t>remainder of places agreed to be commissioned</w:t>
            </w:r>
            <w:r>
              <w:rPr>
                <w:sz w:val="22"/>
                <w:szCs w:val="22"/>
              </w:rPr>
              <w:t>.</w:t>
            </w:r>
          </w:p>
          <w:p w:rsidR="00B73BBE" w:rsidRDefault="00B73BBE" w:rsidP="00AC7860">
            <w:pPr>
              <w:rPr>
                <w:sz w:val="22"/>
                <w:szCs w:val="22"/>
              </w:rPr>
            </w:pPr>
          </w:p>
          <w:p w:rsidR="00ED0A54" w:rsidRDefault="00964A10" w:rsidP="00964A10">
            <w:pPr>
              <w:rPr>
                <w:sz w:val="22"/>
                <w:szCs w:val="22"/>
              </w:rPr>
            </w:pPr>
            <w:r>
              <w:rPr>
                <w:sz w:val="22"/>
                <w:szCs w:val="22"/>
              </w:rPr>
              <w:t>The</w:t>
            </w:r>
            <w:r w:rsidR="00ED0A54">
              <w:rPr>
                <w:sz w:val="22"/>
                <w:szCs w:val="22"/>
              </w:rPr>
              <w:t xml:space="preserve"> host school retains Element 1</w:t>
            </w:r>
            <w:r w:rsidR="009D6A3B">
              <w:rPr>
                <w:sz w:val="22"/>
                <w:szCs w:val="22"/>
              </w:rPr>
              <w:t>, set at a minimum of £4,000 per</w:t>
            </w:r>
            <w:r w:rsidR="00ED0A54">
              <w:rPr>
                <w:sz w:val="22"/>
                <w:szCs w:val="22"/>
              </w:rPr>
              <w:t xml:space="preserve"> </w:t>
            </w:r>
            <w:r w:rsidR="00E5081E">
              <w:rPr>
                <w:sz w:val="22"/>
                <w:szCs w:val="22"/>
              </w:rPr>
              <w:t xml:space="preserve">agreed </w:t>
            </w:r>
            <w:r w:rsidR="00ED0A54">
              <w:rPr>
                <w:sz w:val="22"/>
                <w:szCs w:val="22"/>
              </w:rPr>
              <w:t xml:space="preserve">place. </w:t>
            </w:r>
          </w:p>
          <w:p w:rsidR="00ED0A54" w:rsidRDefault="00ED0A54" w:rsidP="00964A10">
            <w:pPr>
              <w:rPr>
                <w:sz w:val="22"/>
                <w:szCs w:val="22"/>
              </w:rPr>
            </w:pPr>
          </w:p>
          <w:p w:rsidR="00964A10" w:rsidRDefault="00964A10" w:rsidP="00964A10">
            <w:pPr>
              <w:rPr>
                <w:sz w:val="22"/>
                <w:szCs w:val="22"/>
              </w:rPr>
            </w:pPr>
            <w:r>
              <w:rPr>
                <w:sz w:val="22"/>
                <w:szCs w:val="22"/>
              </w:rPr>
              <w:t>Element 2 funding is retained by Bradford Council.</w:t>
            </w:r>
            <w:r w:rsidR="00E83FEC">
              <w:rPr>
                <w:sz w:val="22"/>
                <w:szCs w:val="22"/>
              </w:rPr>
              <w:t xml:space="preserve"> This currently requires </w:t>
            </w:r>
            <w:r w:rsidR="00694B60">
              <w:rPr>
                <w:sz w:val="22"/>
                <w:szCs w:val="22"/>
              </w:rPr>
              <w:t xml:space="preserve">host </w:t>
            </w:r>
            <w:r w:rsidR="00E83FEC">
              <w:rPr>
                <w:sz w:val="22"/>
                <w:szCs w:val="22"/>
              </w:rPr>
              <w:t>schools to repa</w:t>
            </w:r>
            <w:r w:rsidR="00910023">
              <w:rPr>
                <w:sz w:val="22"/>
                <w:szCs w:val="22"/>
              </w:rPr>
              <w:t>y Element 2 back to the Council.</w:t>
            </w:r>
          </w:p>
          <w:p w:rsidR="00964A10" w:rsidRDefault="00964A10" w:rsidP="00AC7860">
            <w:pPr>
              <w:rPr>
                <w:sz w:val="22"/>
                <w:szCs w:val="22"/>
              </w:rPr>
            </w:pPr>
          </w:p>
        </w:tc>
        <w:tc>
          <w:tcPr>
            <w:tcW w:w="2410"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964A10" w:rsidRDefault="00964A10" w:rsidP="00964A10">
            <w:pPr>
              <w:rPr>
                <w:sz w:val="22"/>
                <w:szCs w:val="22"/>
              </w:rPr>
            </w:pPr>
            <w:r>
              <w:rPr>
                <w:sz w:val="22"/>
                <w:szCs w:val="22"/>
              </w:rPr>
              <w:t>Bradford currently uses a Ranges Model (see appendix 2). Proposed to move to a new Banded Model at April 2020 (see appendix 3).</w:t>
            </w:r>
          </w:p>
          <w:p w:rsidR="00964A10" w:rsidRDefault="00964A10" w:rsidP="00964A10">
            <w:pPr>
              <w:rPr>
                <w:sz w:val="22"/>
                <w:szCs w:val="22"/>
              </w:rPr>
            </w:pPr>
          </w:p>
          <w:p w:rsidR="00964A10" w:rsidRDefault="00964A10" w:rsidP="00964A10">
            <w:pPr>
              <w:rPr>
                <w:sz w:val="22"/>
                <w:szCs w:val="22"/>
              </w:rPr>
            </w:pPr>
            <w:r>
              <w:rPr>
                <w:sz w:val="22"/>
                <w:szCs w:val="22"/>
              </w:rPr>
              <w:t>The top up funding is retained by Bradford Council.</w:t>
            </w:r>
          </w:p>
          <w:p w:rsidR="00B73BBE" w:rsidRDefault="00B73BBE" w:rsidP="006A3369">
            <w:pPr>
              <w:rPr>
                <w:sz w:val="22"/>
                <w:szCs w:val="22"/>
              </w:rPr>
            </w:pPr>
          </w:p>
        </w:tc>
        <w:tc>
          <w:tcPr>
            <w:tcW w:w="2410" w:type="dxa"/>
          </w:tcPr>
          <w:p w:rsidR="00B73BBE" w:rsidRDefault="006A3369" w:rsidP="00AC7860">
            <w:pPr>
              <w:rPr>
                <w:sz w:val="22"/>
                <w:szCs w:val="22"/>
              </w:rPr>
            </w:pPr>
            <w:r>
              <w:rPr>
                <w:sz w:val="22"/>
                <w:szCs w:val="22"/>
              </w:rPr>
              <w:t>Element 1 (based on the 16-19 national funding formula) plus Element 2 (£6,000) based on t</w:t>
            </w:r>
            <w:r w:rsidR="009D6A3B">
              <w:rPr>
                <w:sz w:val="22"/>
                <w:szCs w:val="22"/>
              </w:rPr>
              <w:t>he number of places to be commissioned</w:t>
            </w:r>
            <w:r>
              <w:rPr>
                <w:sz w:val="22"/>
                <w:szCs w:val="22"/>
              </w:rPr>
              <w:t>.</w:t>
            </w:r>
          </w:p>
          <w:p w:rsidR="007426B7" w:rsidRDefault="007426B7" w:rsidP="00AC7860">
            <w:pPr>
              <w:rPr>
                <w:sz w:val="22"/>
                <w:szCs w:val="22"/>
              </w:rPr>
            </w:pPr>
          </w:p>
          <w:p w:rsidR="007426B7" w:rsidRDefault="007426B7" w:rsidP="007426B7">
            <w:pPr>
              <w:rPr>
                <w:sz w:val="22"/>
                <w:szCs w:val="22"/>
              </w:rPr>
            </w:pPr>
            <w:r>
              <w:rPr>
                <w:sz w:val="22"/>
                <w:szCs w:val="22"/>
              </w:rPr>
              <w:t xml:space="preserve">The host school retains Element 1. </w:t>
            </w:r>
          </w:p>
          <w:p w:rsidR="007426B7" w:rsidRDefault="007426B7" w:rsidP="007426B7">
            <w:pPr>
              <w:rPr>
                <w:sz w:val="22"/>
                <w:szCs w:val="22"/>
              </w:rPr>
            </w:pPr>
          </w:p>
          <w:p w:rsidR="00E83FEC" w:rsidRDefault="00E83FEC" w:rsidP="00E83FEC">
            <w:pPr>
              <w:rPr>
                <w:sz w:val="22"/>
                <w:szCs w:val="22"/>
              </w:rPr>
            </w:pPr>
            <w:r>
              <w:rPr>
                <w:sz w:val="22"/>
                <w:szCs w:val="22"/>
              </w:rPr>
              <w:t xml:space="preserve">Element 2 funding is retained by Bradford Council. This currently requires </w:t>
            </w:r>
            <w:r w:rsidR="005437A8">
              <w:rPr>
                <w:sz w:val="22"/>
                <w:szCs w:val="22"/>
              </w:rPr>
              <w:t xml:space="preserve">host </w:t>
            </w:r>
            <w:r>
              <w:rPr>
                <w:sz w:val="22"/>
                <w:szCs w:val="22"/>
              </w:rPr>
              <w:t>schools to repay Element 2 back to the Council.</w:t>
            </w:r>
          </w:p>
          <w:p w:rsidR="007426B7" w:rsidRDefault="007426B7" w:rsidP="00AC7860">
            <w:pPr>
              <w:rPr>
                <w:sz w:val="22"/>
                <w:szCs w:val="22"/>
              </w:rPr>
            </w:pPr>
          </w:p>
        </w:tc>
        <w:tc>
          <w:tcPr>
            <w:tcW w:w="2126" w:type="dxa"/>
          </w:tcPr>
          <w:p w:rsidR="006A3369" w:rsidRDefault="006A3369" w:rsidP="006A3369">
            <w:pPr>
              <w:rPr>
                <w:sz w:val="22"/>
                <w:szCs w:val="22"/>
              </w:rPr>
            </w:pPr>
            <w:r>
              <w:rPr>
                <w:sz w:val="22"/>
                <w:szCs w:val="22"/>
              </w:rPr>
              <w:t>Agreed per-pupil top up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9D6A3B" w:rsidRDefault="009D6A3B" w:rsidP="009D6A3B">
            <w:pPr>
              <w:rPr>
                <w:sz w:val="22"/>
                <w:szCs w:val="22"/>
              </w:rPr>
            </w:pPr>
            <w:r>
              <w:rPr>
                <w:sz w:val="22"/>
                <w:szCs w:val="22"/>
              </w:rPr>
              <w:t>Bradford currently uses a Ranges Model (see appendix 2). Proposed to move to a new Banded Model at April 2020 (see appendix 3).</w:t>
            </w:r>
          </w:p>
          <w:p w:rsidR="009D6A3B" w:rsidRDefault="009D6A3B" w:rsidP="009D6A3B">
            <w:pPr>
              <w:rPr>
                <w:sz w:val="22"/>
                <w:szCs w:val="22"/>
              </w:rPr>
            </w:pPr>
          </w:p>
          <w:p w:rsidR="009D6A3B" w:rsidRDefault="009D6A3B" w:rsidP="009D6A3B">
            <w:pPr>
              <w:rPr>
                <w:sz w:val="22"/>
                <w:szCs w:val="22"/>
              </w:rPr>
            </w:pPr>
            <w:r>
              <w:rPr>
                <w:sz w:val="22"/>
                <w:szCs w:val="22"/>
              </w:rPr>
              <w:t>The top up funding is retained by Bradford Council.</w:t>
            </w:r>
          </w:p>
          <w:p w:rsidR="00B73BBE" w:rsidRDefault="00B73BBE" w:rsidP="006A3369">
            <w:pPr>
              <w:rPr>
                <w:sz w:val="22"/>
                <w:szCs w:val="22"/>
              </w:rPr>
            </w:pPr>
          </w:p>
        </w:tc>
        <w:tc>
          <w:tcPr>
            <w:tcW w:w="2126" w:type="dxa"/>
          </w:tcPr>
          <w:p w:rsidR="00B73BBE" w:rsidRDefault="00E66958" w:rsidP="006A3369">
            <w:pPr>
              <w:rPr>
                <w:sz w:val="22"/>
                <w:szCs w:val="22"/>
              </w:rPr>
            </w:pPr>
            <w:r>
              <w:rPr>
                <w:sz w:val="22"/>
                <w:szCs w:val="22"/>
              </w:rPr>
              <w:t>None.</w:t>
            </w:r>
          </w:p>
        </w:tc>
        <w:tc>
          <w:tcPr>
            <w:tcW w:w="1985" w:type="dxa"/>
          </w:tcPr>
          <w:p w:rsidR="00B73BBE" w:rsidRDefault="005A0EA2" w:rsidP="00AC7860">
            <w:pPr>
              <w:rPr>
                <w:sz w:val="22"/>
                <w:szCs w:val="22"/>
              </w:rPr>
            </w:pPr>
            <w:r>
              <w:rPr>
                <w:sz w:val="22"/>
                <w:szCs w:val="22"/>
              </w:rPr>
              <w:t>None.</w:t>
            </w:r>
          </w:p>
        </w:tc>
      </w:tr>
      <w:tr w:rsidR="007426B7" w:rsidTr="004D4AED">
        <w:tc>
          <w:tcPr>
            <w:tcW w:w="2376" w:type="dxa"/>
          </w:tcPr>
          <w:p w:rsidR="007426B7" w:rsidRDefault="007426B7" w:rsidP="007426B7">
            <w:pPr>
              <w:rPr>
                <w:sz w:val="22"/>
                <w:szCs w:val="22"/>
              </w:rPr>
            </w:pPr>
            <w:r w:rsidRPr="00271340">
              <w:rPr>
                <w:b/>
                <w:sz w:val="22"/>
                <w:szCs w:val="22"/>
              </w:rPr>
              <w:t>Local Authority-led Resourced Provisions</w:t>
            </w:r>
            <w:r>
              <w:rPr>
                <w:sz w:val="22"/>
                <w:szCs w:val="22"/>
              </w:rPr>
              <w:t xml:space="preserve"> (mainstream primary &amp; secondary).</w:t>
            </w:r>
          </w:p>
          <w:p w:rsidR="007426B7" w:rsidRDefault="007426B7" w:rsidP="007426B7">
            <w:pPr>
              <w:rPr>
                <w:sz w:val="22"/>
                <w:szCs w:val="22"/>
              </w:rPr>
            </w:pPr>
          </w:p>
          <w:p w:rsidR="007426B7" w:rsidRPr="00964A10" w:rsidRDefault="007426B7" w:rsidP="007426B7">
            <w:pPr>
              <w:rPr>
                <w:i/>
                <w:sz w:val="22"/>
                <w:szCs w:val="22"/>
              </w:rPr>
            </w:pPr>
            <w:r w:rsidRPr="00964A10">
              <w:rPr>
                <w:i/>
                <w:sz w:val="22"/>
                <w:szCs w:val="22"/>
              </w:rPr>
              <w:t>(</w:t>
            </w:r>
            <w:r>
              <w:rPr>
                <w:i/>
                <w:sz w:val="22"/>
                <w:szCs w:val="22"/>
              </w:rPr>
              <w:t>newly establishing from 2019</w:t>
            </w:r>
            <w:r w:rsidRPr="00964A10">
              <w:rPr>
                <w:i/>
                <w:sz w:val="22"/>
                <w:szCs w:val="22"/>
              </w:rPr>
              <w:t>)</w:t>
            </w:r>
            <w:r>
              <w:rPr>
                <w:i/>
                <w:sz w:val="22"/>
                <w:szCs w:val="22"/>
              </w:rPr>
              <w:t>.</w:t>
            </w:r>
          </w:p>
          <w:p w:rsidR="007426B7" w:rsidRDefault="007426B7" w:rsidP="008D56E1">
            <w:pPr>
              <w:rPr>
                <w:sz w:val="22"/>
                <w:szCs w:val="22"/>
              </w:rPr>
            </w:pPr>
          </w:p>
        </w:tc>
        <w:tc>
          <w:tcPr>
            <w:tcW w:w="2268" w:type="dxa"/>
          </w:tcPr>
          <w:p w:rsidR="007426B7" w:rsidRDefault="007426B7" w:rsidP="007426B7">
            <w:pPr>
              <w:rPr>
                <w:sz w:val="22"/>
                <w:szCs w:val="22"/>
              </w:rPr>
            </w:pPr>
            <w:r>
              <w:rPr>
                <w:sz w:val="22"/>
                <w:szCs w:val="22"/>
              </w:rPr>
              <w:t>Element 1 is allocated through a combination of per-pupil funding allocated through the local school’s funding formula plus £4,000 for places to agreed to be commissioned but not occupied by pupils on roll in October in the previous year.</w:t>
            </w:r>
          </w:p>
          <w:p w:rsidR="007426B7" w:rsidRDefault="007426B7" w:rsidP="007426B7">
            <w:pPr>
              <w:rPr>
                <w:sz w:val="22"/>
                <w:szCs w:val="22"/>
              </w:rPr>
            </w:pPr>
          </w:p>
          <w:p w:rsidR="007426B7" w:rsidRDefault="007426B7" w:rsidP="007426B7">
            <w:pPr>
              <w:rPr>
                <w:sz w:val="22"/>
                <w:szCs w:val="22"/>
              </w:rPr>
            </w:pPr>
            <w:r>
              <w:rPr>
                <w:sz w:val="22"/>
                <w:szCs w:val="22"/>
              </w:rPr>
              <w:t xml:space="preserve">The host school retains Element 1, set at a minimum of £4,000 per agreed place. </w:t>
            </w:r>
          </w:p>
          <w:p w:rsidR="007426B7" w:rsidRDefault="007426B7" w:rsidP="007426B7">
            <w:pPr>
              <w:rPr>
                <w:sz w:val="22"/>
                <w:szCs w:val="22"/>
              </w:rPr>
            </w:pPr>
          </w:p>
          <w:p w:rsidR="007426B7" w:rsidRDefault="007426B7" w:rsidP="007426B7">
            <w:pPr>
              <w:rPr>
                <w:sz w:val="22"/>
                <w:szCs w:val="22"/>
              </w:rPr>
            </w:pPr>
            <w:r>
              <w:rPr>
                <w:sz w:val="22"/>
                <w:szCs w:val="22"/>
              </w:rPr>
              <w:t>Element 2 funding is calculated at £6,000 per commissioned place and is retained by Bradford Council.</w:t>
            </w:r>
          </w:p>
          <w:p w:rsidR="007426B7" w:rsidRDefault="007426B7" w:rsidP="006A3369">
            <w:pPr>
              <w:rPr>
                <w:sz w:val="22"/>
                <w:szCs w:val="22"/>
              </w:rPr>
            </w:pPr>
          </w:p>
        </w:tc>
        <w:tc>
          <w:tcPr>
            <w:tcW w:w="2410" w:type="dxa"/>
          </w:tcPr>
          <w:p w:rsidR="007426B7" w:rsidRDefault="007426B7" w:rsidP="007426B7">
            <w:pPr>
              <w:rPr>
                <w:sz w:val="22"/>
                <w:szCs w:val="22"/>
              </w:rPr>
            </w:pPr>
            <w:r>
              <w:rPr>
                <w:sz w:val="22"/>
                <w:szCs w:val="22"/>
              </w:rPr>
              <w:t>Agreed per-pupil top up paid by the commissioning local authority.</w:t>
            </w:r>
          </w:p>
          <w:p w:rsidR="007426B7" w:rsidRDefault="007426B7" w:rsidP="007426B7">
            <w:pPr>
              <w:rPr>
                <w:sz w:val="22"/>
                <w:szCs w:val="22"/>
              </w:rPr>
            </w:pPr>
          </w:p>
          <w:p w:rsidR="007426B7" w:rsidRDefault="007426B7" w:rsidP="007426B7">
            <w:pPr>
              <w:rPr>
                <w:sz w:val="22"/>
                <w:szCs w:val="22"/>
              </w:rPr>
            </w:pPr>
            <w:r>
              <w:rPr>
                <w:sz w:val="22"/>
                <w:szCs w:val="22"/>
              </w:rPr>
              <w:t>Allocated in ‘real time’ during the year. Changes for starters and leavers.</w:t>
            </w:r>
          </w:p>
          <w:p w:rsidR="007426B7" w:rsidRDefault="007426B7" w:rsidP="007426B7">
            <w:pPr>
              <w:rPr>
                <w:sz w:val="22"/>
                <w:szCs w:val="22"/>
              </w:rPr>
            </w:pPr>
            <w:r>
              <w:rPr>
                <w:sz w:val="22"/>
                <w:szCs w:val="22"/>
              </w:rPr>
              <w:t>Bradford currently uses a Ranges Model (see appendix 2). Proposed to move to a new Banded Model at April 2020 (see appendix 3).</w:t>
            </w:r>
          </w:p>
          <w:p w:rsidR="007426B7" w:rsidRDefault="007426B7" w:rsidP="007426B7">
            <w:pPr>
              <w:rPr>
                <w:sz w:val="22"/>
                <w:szCs w:val="22"/>
              </w:rPr>
            </w:pPr>
          </w:p>
          <w:p w:rsidR="007426B7" w:rsidRDefault="007426B7" w:rsidP="007426B7">
            <w:pPr>
              <w:rPr>
                <w:sz w:val="22"/>
                <w:szCs w:val="22"/>
              </w:rPr>
            </w:pPr>
            <w:r>
              <w:rPr>
                <w:sz w:val="22"/>
                <w:szCs w:val="22"/>
              </w:rPr>
              <w:t>The top up funding is retained by Bradford Council.</w:t>
            </w:r>
          </w:p>
          <w:p w:rsidR="007426B7" w:rsidRDefault="007426B7" w:rsidP="006A3369">
            <w:pPr>
              <w:rPr>
                <w:sz w:val="22"/>
                <w:szCs w:val="22"/>
              </w:rPr>
            </w:pPr>
          </w:p>
        </w:tc>
        <w:tc>
          <w:tcPr>
            <w:tcW w:w="2410" w:type="dxa"/>
          </w:tcPr>
          <w:p w:rsidR="007426B7" w:rsidRDefault="007426B7" w:rsidP="004308EC">
            <w:pPr>
              <w:rPr>
                <w:sz w:val="22"/>
                <w:szCs w:val="22"/>
              </w:rPr>
            </w:pPr>
            <w:r>
              <w:rPr>
                <w:sz w:val="22"/>
                <w:szCs w:val="22"/>
              </w:rPr>
              <w:t>Element 1 (based on the 16-19 national funding formula) plus Element 2 (£6,000) based on the number of places to be commissioned.</w:t>
            </w:r>
          </w:p>
          <w:p w:rsidR="007426B7" w:rsidRDefault="007426B7" w:rsidP="004308EC">
            <w:pPr>
              <w:rPr>
                <w:sz w:val="22"/>
                <w:szCs w:val="22"/>
              </w:rPr>
            </w:pPr>
          </w:p>
          <w:p w:rsidR="007426B7" w:rsidRDefault="007426B7" w:rsidP="004308EC">
            <w:pPr>
              <w:rPr>
                <w:sz w:val="22"/>
                <w:szCs w:val="22"/>
              </w:rPr>
            </w:pPr>
            <w:r>
              <w:rPr>
                <w:sz w:val="22"/>
                <w:szCs w:val="22"/>
              </w:rPr>
              <w:t xml:space="preserve">The host school retains Element 1. </w:t>
            </w:r>
          </w:p>
          <w:p w:rsidR="007426B7" w:rsidRDefault="007426B7" w:rsidP="004308EC">
            <w:pPr>
              <w:rPr>
                <w:sz w:val="22"/>
                <w:szCs w:val="22"/>
              </w:rPr>
            </w:pPr>
          </w:p>
          <w:p w:rsidR="007426B7" w:rsidRDefault="007426B7" w:rsidP="004308EC">
            <w:pPr>
              <w:rPr>
                <w:sz w:val="22"/>
                <w:szCs w:val="22"/>
              </w:rPr>
            </w:pPr>
            <w:r>
              <w:rPr>
                <w:sz w:val="22"/>
                <w:szCs w:val="22"/>
              </w:rPr>
              <w:t>Element 2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Agreed per-pupil top up paid by the commissioning local authority.</w:t>
            </w:r>
          </w:p>
          <w:p w:rsidR="007426B7" w:rsidRDefault="007426B7" w:rsidP="004308EC">
            <w:pPr>
              <w:rPr>
                <w:sz w:val="22"/>
                <w:szCs w:val="22"/>
              </w:rPr>
            </w:pPr>
          </w:p>
          <w:p w:rsidR="007426B7" w:rsidRDefault="007426B7" w:rsidP="004308EC">
            <w:pPr>
              <w:rPr>
                <w:sz w:val="22"/>
                <w:szCs w:val="22"/>
              </w:rPr>
            </w:pPr>
            <w:r>
              <w:rPr>
                <w:sz w:val="22"/>
                <w:szCs w:val="22"/>
              </w:rPr>
              <w:t>Allocated in ‘real time’ during the year. Changes for starters and leavers.</w:t>
            </w:r>
          </w:p>
          <w:p w:rsidR="007426B7" w:rsidRDefault="007426B7" w:rsidP="004308EC">
            <w:pPr>
              <w:rPr>
                <w:sz w:val="22"/>
                <w:szCs w:val="22"/>
              </w:rPr>
            </w:pPr>
          </w:p>
          <w:p w:rsidR="007426B7" w:rsidRDefault="007426B7" w:rsidP="004308EC">
            <w:pPr>
              <w:rPr>
                <w:sz w:val="22"/>
                <w:szCs w:val="22"/>
              </w:rPr>
            </w:pPr>
            <w:r>
              <w:rPr>
                <w:sz w:val="22"/>
                <w:szCs w:val="22"/>
              </w:rPr>
              <w:t>Bradford currently uses a Ranges Model (see appendix 2). Proposed to move to a new Banded Model at April 2020 (see appendix 3).</w:t>
            </w:r>
          </w:p>
          <w:p w:rsidR="007426B7" w:rsidRDefault="007426B7" w:rsidP="004308EC">
            <w:pPr>
              <w:rPr>
                <w:sz w:val="22"/>
                <w:szCs w:val="22"/>
              </w:rPr>
            </w:pPr>
          </w:p>
          <w:p w:rsidR="007426B7" w:rsidRDefault="007426B7" w:rsidP="004308EC">
            <w:pPr>
              <w:rPr>
                <w:sz w:val="22"/>
                <w:szCs w:val="22"/>
              </w:rPr>
            </w:pPr>
            <w:r>
              <w:rPr>
                <w:sz w:val="22"/>
                <w:szCs w:val="22"/>
              </w:rPr>
              <w:t>The top up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None.</w:t>
            </w:r>
          </w:p>
        </w:tc>
        <w:tc>
          <w:tcPr>
            <w:tcW w:w="1985" w:type="dxa"/>
          </w:tcPr>
          <w:p w:rsidR="007426B7" w:rsidRDefault="007426B7" w:rsidP="004308EC">
            <w:pPr>
              <w:rPr>
                <w:sz w:val="22"/>
                <w:szCs w:val="22"/>
              </w:rPr>
            </w:pPr>
            <w:r>
              <w:rPr>
                <w:sz w:val="22"/>
                <w:szCs w:val="22"/>
              </w:rPr>
              <w:t>None.</w:t>
            </w:r>
          </w:p>
        </w:tc>
      </w:tr>
      <w:tr w:rsidR="007426B7" w:rsidTr="004D4AED">
        <w:tc>
          <w:tcPr>
            <w:tcW w:w="2376" w:type="dxa"/>
          </w:tcPr>
          <w:p w:rsidR="007426B7" w:rsidRDefault="00910023" w:rsidP="008D56E1">
            <w:pPr>
              <w:rPr>
                <w:sz w:val="22"/>
                <w:szCs w:val="22"/>
              </w:rPr>
            </w:pPr>
            <w:r w:rsidRPr="00271340">
              <w:rPr>
                <w:b/>
                <w:sz w:val="22"/>
                <w:szCs w:val="22"/>
              </w:rPr>
              <w:t>Early Years Enhanced Specialist Provisions</w:t>
            </w:r>
            <w:r>
              <w:rPr>
                <w:sz w:val="22"/>
                <w:szCs w:val="22"/>
              </w:rPr>
              <w:t xml:space="preserve"> </w:t>
            </w:r>
            <w:r w:rsidR="007426B7">
              <w:rPr>
                <w:sz w:val="22"/>
                <w:szCs w:val="22"/>
              </w:rPr>
              <w:t xml:space="preserve"> (maintained nursery schools)</w:t>
            </w:r>
          </w:p>
        </w:tc>
        <w:tc>
          <w:tcPr>
            <w:tcW w:w="2268" w:type="dxa"/>
          </w:tcPr>
          <w:p w:rsidR="007426B7" w:rsidRDefault="007426B7" w:rsidP="00FD3D0F">
            <w:pPr>
              <w:rPr>
                <w:sz w:val="22"/>
                <w:szCs w:val="22"/>
              </w:rPr>
            </w:pPr>
            <w:r>
              <w:rPr>
                <w:sz w:val="22"/>
                <w:szCs w:val="22"/>
              </w:rPr>
              <w:t>Element</w:t>
            </w:r>
            <w:r w:rsidR="00910023">
              <w:rPr>
                <w:sz w:val="22"/>
                <w:szCs w:val="22"/>
              </w:rPr>
              <w:t>s 1 &amp; 2 are</w:t>
            </w:r>
            <w:r>
              <w:rPr>
                <w:sz w:val="22"/>
                <w:szCs w:val="22"/>
              </w:rPr>
              <w:t xml:space="preserve"> allocated through a combination of per-pupil funding allocated through</w:t>
            </w:r>
            <w:r w:rsidR="00FA0815">
              <w:rPr>
                <w:sz w:val="22"/>
                <w:szCs w:val="22"/>
              </w:rPr>
              <w:t xml:space="preserve"> the local EYSFF</w:t>
            </w:r>
            <w:r>
              <w:rPr>
                <w:sz w:val="22"/>
                <w:szCs w:val="22"/>
              </w:rPr>
              <w:t xml:space="preserve"> plus £6,000 per</w:t>
            </w:r>
            <w:r w:rsidR="00FA0815">
              <w:rPr>
                <w:sz w:val="22"/>
                <w:szCs w:val="22"/>
              </w:rPr>
              <w:t xml:space="preserve"> FTE</w:t>
            </w:r>
            <w:r>
              <w:rPr>
                <w:sz w:val="22"/>
                <w:szCs w:val="22"/>
              </w:rPr>
              <w:t xml:space="preserve"> </w:t>
            </w:r>
            <w:r w:rsidR="00910023">
              <w:rPr>
                <w:sz w:val="22"/>
                <w:szCs w:val="22"/>
              </w:rPr>
              <w:t xml:space="preserve">commissioned </w:t>
            </w:r>
            <w:r>
              <w:rPr>
                <w:sz w:val="22"/>
                <w:szCs w:val="22"/>
              </w:rPr>
              <w:t xml:space="preserve">place. </w:t>
            </w:r>
          </w:p>
          <w:p w:rsidR="007426B7" w:rsidRDefault="007426B7" w:rsidP="00FD3D0F">
            <w:pPr>
              <w:rPr>
                <w:sz w:val="22"/>
                <w:szCs w:val="22"/>
              </w:rPr>
            </w:pPr>
          </w:p>
          <w:p w:rsidR="00910023" w:rsidRDefault="00910023" w:rsidP="00910023">
            <w:pPr>
              <w:rPr>
                <w:sz w:val="22"/>
                <w:szCs w:val="22"/>
              </w:rPr>
            </w:pPr>
            <w:r>
              <w:rPr>
                <w:sz w:val="22"/>
                <w:szCs w:val="22"/>
              </w:rPr>
              <w:t>Both Elements 1 and 2 are retained by the school.</w:t>
            </w:r>
          </w:p>
          <w:p w:rsidR="00910023" w:rsidRDefault="00910023" w:rsidP="00FD3D0F">
            <w:pPr>
              <w:rPr>
                <w:sz w:val="22"/>
                <w:szCs w:val="22"/>
              </w:rPr>
            </w:pPr>
          </w:p>
          <w:p w:rsidR="007426B7" w:rsidRDefault="00910023" w:rsidP="00FD3D0F">
            <w:pPr>
              <w:rPr>
                <w:sz w:val="22"/>
                <w:szCs w:val="22"/>
              </w:rPr>
            </w:pPr>
            <w:r>
              <w:rPr>
                <w:sz w:val="22"/>
                <w:szCs w:val="22"/>
              </w:rPr>
              <w:t>Additional Element 1 funding is paid using</w:t>
            </w:r>
            <w:r w:rsidR="007426B7">
              <w:rPr>
                <w:sz w:val="22"/>
                <w:szCs w:val="22"/>
              </w:rPr>
              <w:t xml:space="preserve"> EYSFF </w:t>
            </w:r>
            <w:r>
              <w:rPr>
                <w:sz w:val="22"/>
                <w:szCs w:val="22"/>
              </w:rPr>
              <w:t xml:space="preserve">rates for any </w:t>
            </w:r>
            <w:r w:rsidR="00FA0815">
              <w:rPr>
                <w:sz w:val="22"/>
                <w:szCs w:val="22"/>
              </w:rPr>
              <w:t xml:space="preserve">FTE </w:t>
            </w:r>
            <w:r>
              <w:rPr>
                <w:sz w:val="22"/>
                <w:szCs w:val="22"/>
              </w:rPr>
              <w:t>places not occupied in the EYSFF termly censuses</w:t>
            </w:r>
            <w:r w:rsidR="007426B7">
              <w:rPr>
                <w:sz w:val="22"/>
                <w:szCs w:val="22"/>
              </w:rPr>
              <w:t xml:space="preserve">. </w:t>
            </w:r>
          </w:p>
          <w:p w:rsidR="007426B7" w:rsidRDefault="007426B7" w:rsidP="00AC7860">
            <w:pPr>
              <w:rPr>
                <w:sz w:val="22"/>
                <w:szCs w:val="22"/>
              </w:rPr>
            </w:pPr>
          </w:p>
        </w:tc>
        <w:tc>
          <w:tcPr>
            <w:tcW w:w="2410" w:type="dxa"/>
          </w:tcPr>
          <w:p w:rsidR="007426B7" w:rsidRDefault="007426B7" w:rsidP="00FD3D0F">
            <w:pPr>
              <w:rPr>
                <w:sz w:val="22"/>
                <w:szCs w:val="22"/>
              </w:rPr>
            </w:pPr>
            <w:r>
              <w:rPr>
                <w:sz w:val="22"/>
                <w:szCs w:val="22"/>
              </w:rPr>
              <w:t>Agreed per-pupil top up paid by the commissioning local authority.</w:t>
            </w:r>
          </w:p>
          <w:p w:rsidR="007426B7" w:rsidRDefault="007426B7" w:rsidP="00FD3D0F">
            <w:pPr>
              <w:rPr>
                <w:sz w:val="22"/>
                <w:szCs w:val="22"/>
              </w:rPr>
            </w:pPr>
          </w:p>
          <w:p w:rsidR="007426B7" w:rsidRDefault="007426B7" w:rsidP="00FD3D0F">
            <w:pPr>
              <w:rPr>
                <w:sz w:val="22"/>
                <w:szCs w:val="22"/>
              </w:rPr>
            </w:pPr>
            <w:r>
              <w:rPr>
                <w:sz w:val="22"/>
                <w:szCs w:val="22"/>
              </w:rPr>
              <w:t>Allocated in ‘real time’ during the year. Changes for starters and leavers.</w:t>
            </w:r>
          </w:p>
          <w:p w:rsidR="007426B7" w:rsidRDefault="007426B7" w:rsidP="00FD3D0F">
            <w:pPr>
              <w:rPr>
                <w:sz w:val="22"/>
                <w:szCs w:val="22"/>
              </w:rPr>
            </w:pPr>
          </w:p>
          <w:p w:rsidR="00910023" w:rsidRDefault="00910023" w:rsidP="00910023">
            <w:pPr>
              <w:rPr>
                <w:sz w:val="22"/>
                <w:szCs w:val="22"/>
              </w:rPr>
            </w:pPr>
            <w:r>
              <w:rPr>
                <w:sz w:val="22"/>
                <w:szCs w:val="22"/>
              </w:rPr>
              <w:t>Bradford currently uses a Ranges Model (see appendix 2). All EYESP places have previously been funded at Range 4D. Proposed to move to a new Banded Model at April 2020 (see appendix 3).</w:t>
            </w:r>
          </w:p>
          <w:p w:rsidR="00910023" w:rsidRDefault="00910023" w:rsidP="00910023">
            <w:pPr>
              <w:rPr>
                <w:sz w:val="22"/>
                <w:szCs w:val="22"/>
              </w:rPr>
            </w:pPr>
          </w:p>
          <w:p w:rsidR="00910023" w:rsidRDefault="00910023" w:rsidP="00910023">
            <w:pPr>
              <w:rPr>
                <w:sz w:val="22"/>
                <w:szCs w:val="22"/>
              </w:rPr>
            </w:pPr>
            <w:r>
              <w:rPr>
                <w:sz w:val="22"/>
                <w:szCs w:val="22"/>
              </w:rPr>
              <w:t>The top up funding is allocated to and retained by the school.</w:t>
            </w:r>
          </w:p>
          <w:p w:rsidR="007426B7" w:rsidRDefault="007426B7" w:rsidP="00FD3D0F">
            <w:pPr>
              <w:rPr>
                <w:sz w:val="22"/>
                <w:szCs w:val="22"/>
              </w:rPr>
            </w:pPr>
          </w:p>
        </w:tc>
        <w:tc>
          <w:tcPr>
            <w:tcW w:w="2410"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n/a</w:t>
            </w:r>
          </w:p>
        </w:tc>
        <w:tc>
          <w:tcPr>
            <w:tcW w:w="2126" w:type="dxa"/>
          </w:tcPr>
          <w:p w:rsidR="007426B7" w:rsidRDefault="00663B9C" w:rsidP="00AC7860">
            <w:pPr>
              <w:rPr>
                <w:sz w:val="22"/>
                <w:szCs w:val="22"/>
              </w:rPr>
            </w:pPr>
            <w:r>
              <w:rPr>
                <w:sz w:val="22"/>
                <w:szCs w:val="22"/>
              </w:rPr>
              <w:t xml:space="preserve">Currently </w:t>
            </w:r>
            <w:r w:rsidR="007426B7">
              <w:rPr>
                <w:sz w:val="22"/>
                <w:szCs w:val="22"/>
              </w:rPr>
              <w:t>None.</w:t>
            </w:r>
            <w:r>
              <w:rPr>
                <w:sz w:val="22"/>
                <w:szCs w:val="22"/>
              </w:rPr>
              <w:t xml:space="preserve"> Proposed to include Small Setting Protection</w:t>
            </w:r>
            <w:r w:rsidR="00965715">
              <w:rPr>
                <w:sz w:val="22"/>
                <w:szCs w:val="22"/>
              </w:rPr>
              <w:t xml:space="preserve"> from April 2020</w:t>
            </w:r>
            <w:r>
              <w:rPr>
                <w:sz w:val="22"/>
                <w:szCs w:val="22"/>
              </w:rPr>
              <w:t>.</w:t>
            </w:r>
          </w:p>
          <w:p w:rsidR="00A03632" w:rsidRDefault="00A03632" w:rsidP="00AC7860">
            <w:pPr>
              <w:rPr>
                <w:sz w:val="22"/>
                <w:szCs w:val="22"/>
              </w:rPr>
            </w:pPr>
          </w:p>
          <w:p w:rsidR="00A03632" w:rsidRDefault="00A03632" w:rsidP="00AC7860">
            <w:pPr>
              <w:rPr>
                <w:sz w:val="22"/>
                <w:szCs w:val="22"/>
              </w:rPr>
            </w:pPr>
            <w:r>
              <w:rPr>
                <w:sz w:val="22"/>
                <w:szCs w:val="22"/>
              </w:rPr>
              <w:t>Please see appendix 4.</w:t>
            </w:r>
          </w:p>
        </w:tc>
        <w:tc>
          <w:tcPr>
            <w:tcW w:w="1985" w:type="dxa"/>
          </w:tcPr>
          <w:p w:rsidR="007426B7" w:rsidRDefault="007426B7" w:rsidP="00AC7860">
            <w:pPr>
              <w:rPr>
                <w:sz w:val="22"/>
                <w:szCs w:val="22"/>
              </w:rPr>
            </w:pPr>
            <w:r>
              <w:rPr>
                <w:sz w:val="22"/>
                <w:szCs w:val="22"/>
              </w:rPr>
              <w:t>None.</w:t>
            </w:r>
          </w:p>
        </w:tc>
      </w:tr>
      <w:tr w:rsidR="007426B7" w:rsidTr="004D4AED">
        <w:tc>
          <w:tcPr>
            <w:tcW w:w="2376" w:type="dxa"/>
          </w:tcPr>
          <w:p w:rsidR="007426B7" w:rsidRPr="00271340" w:rsidRDefault="00ED01C0" w:rsidP="008D56E1">
            <w:pPr>
              <w:rPr>
                <w:b/>
                <w:sz w:val="22"/>
                <w:szCs w:val="22"/>
              </w:rPr>
            </w:pPr>
            <w:r w:rsidRPr="00271340">
              <w:rPr>
                <w:b/>
                <w:sz w:val="22"/>
                <w:szCs w:val="22"/>
              </w:rPr>
              <w:t xml:space="preserve">Maintained </w:t>
            </w:r>
            <w:r w:rsidR="007426B7" w:rsidRPr="00271340">
              <w:rPr>
                <w:b/>
                <w:sz w:val="22"/>
                <w:szCs w:val="22"/>
              </w:rPr>
              <w:t>Special Schools &amp; Special</w:t>
            </w:r>
            <w:r w:rsidRPr="00271340">
              <w:rPr>
                <w:b/>
                <w:sz w:val="22"/>
                <w:szCs w:val="22"/>
              </w:rPr>
              <w:t xml:space="preserve"> School</w:t>
            </w:r>
            <w:r w:rsidR="007426B7" w:rsidRPr="00271340">
              <w:rPr>
                <w:b/>
                <w:sz w:val="22"/>
                <w:szCs w:val="22"/>
              </w:rPr>
              <w:t xml:space="preserve"> Academies</w:t>
            </w:r>
          </w:p>
        </w:tc>
        <w:tc>
          <w:tcPr>
            <w:tcW w:w="2268" w:type="dxa"/>
          </w:tcPr>
          <w:p w:rsidR="007426B7" w:rsidRDefault="00965715" w:rsidP="00AC7860">
            <w:pPr>
              <w:rPr>
                <w:sz w:val="22"/>
                <w:szCs w:val="22"/>
              </w:rPr>
            </w:pPr>
            <w:r>
              <w:rPr>
                <w:sz w:val="22"/>
                <w:szCs w:val="22"/>
              </w:rPr>
              <w:t>Element</w:t>
            </w:r>
            <w:r w:rsidR="00E32B6E">
              <w:rPr>
                <w:sz w:val="22"/>
                <w:szCs w:val="22"/>
              </w:rPr>
              <w:t>s</w:t>
            </w:r>
            <w:r>
              <w:rPr>
                <w:sz w:val="22"/>
                <w:szCs w:val="22"/>
              </w:rPr>
              <w:t xml:space="preserve"> 1 and 2 are combined in a fixed </w:t>
            </w:r>
            <w:r w:rsidR="007426B7">
              <w:rPr>
                <w:sz w:val="22"/>
                <w:szCs w:val="22"/>
              </w:rPr>
              <w:t>£10,000 per place</w:t>
            </w:r>
            <w:r>
              <w:rPr>
                <w:sz w:val="22"/>
                <w:szCs w:val="22"/>
              </w:rPr>
              <w:t>,</w:t>
            </w:r>
            <w:r w:rsidR="007426B7">
              <w:rPr>
                <w:sz w:val="22"/>
                <w:szCs w:val="22"/>
              </w:rPr>
              <w:t xml:space="preserve"> based on an agreed number of places</w:t>
            </w:r>
            <w:r w:rsidR="00ED01C0">
              <w:rPr>
                <w:sz w:val="22"/>
                <w:szCs w:val="22"/>
              </w:rPr>
              <w:t xml:space="preserve"> to be commissioned</w:t>
            </w:r>
            <w:r w:rsidR="007426B7">
              <w:rPr>
                <w:sz w:val="22"/>
                <w:szCs w:val="22"/>
              </w:rPr>
              <w:t>.</w:t>
            </w:r>
          </w:p>
          <w:p w:rsidR="007426B7" w:rsidRDefault="007426B7" w:rsidP="00AC7860">
            <w:pPr>
              <w:rPr>
                <w:sz w:val="22"/>
                <w:szCs w:val="22"/>
              </w:rPr>
            </w:pPr>
          </w:p>
          <w:p w:rsidR="007426B7" w:rsidRDefault="007426B7" w:rsidP="00AC7860">
            <w:pPr>
              <w:rPr>
                <w:sz w:val="22"/>
                <w:szCs w:val="22"/>
              </w:rPr>
            </w:pPr>
            <w:r>
              <w:rPr>
                <w:sz w:val="22"/>
                <w:szCs w:val="22"/>
              </w:rPr>
              <w:t>Additional place-funding is allocated</w:t>
            </w:r>
            <w:r w:rsidR="00965715">
              <w:rPr>
                <w:sz w:val="22"/>
                <w:szCs w:val="22"/>
              </w:rPr>
              <w:t xml:space="preserve"> in real time</w:t>
            </w:r>
            <w:r>
              <w:rPr>
                <w:sz w:val="22"/>
                <w:szCs w:val="22"/>
              </w:rPr>
              <w:t xml:space="preserve"> where occupancy </w:t>
            </w:r>
            <w:r w:rsidR="00ED01C0">
              <w:rPr>
                <w:sz w:val="22"/>
                <w:szCs w:val="22"/>
              </w:rPr>
              <w:t>is exceeded,</w:t>
            </w:r>
            <w:r>
              <w:rPr>
                <w:sz w:val="22"/>
                <w:szCs w:val="22"/>
              </w:rPr>
              <w:t xml:space="preserve"> with an end of year reconciliation</w:t>
            </w:r>
            <w:r w:rsidR="00ED01C0">
              <w:rPr>
                <w:sz w:val="22"/>
                <w:szCs w:val="22"/>
              </w:rPr>
              <w:t xml:space="preserve"> to ensure no overall overpayment of additional place-led funding for </w:t>
            </w:r>
            <w:r w:rsidR="00965715">
              <w:rPr>
                <w:sz w:val="22"/>
                <w:szCs w:val="22"/>
              </w:rPr>
              <w:t xml:space="preserve">the </w:t>
            </w:r>
            <w:r w:rsidR="00ED01C0">
              <w:rPr>
                <w:sz w:val="22"/>
                <w:szCs w:val="22"/>
              </w:rPr>
              <w:t>actual total composite occupancy across the year</w:t>
            </w:r>
            <w:r>
              <w:rPr>
                <w:sz w:val="22"/>
                <w:szCs w:val="22"/>
              </w:rPr>
              <w:t>.</w:t>
            </w:r>
          </w:p>
          <w:p w:rsidR="007426B7" w:rsidRDefault="007426B7" w:rsidP="00AC7860">
            <w:pPr>
              <w:rPr>
                <w:sz w:val="22"/>
                <w:szCs w:val="22"/>
              </w:rPr>
            </w:pPr>
          </w:p>
          <w:p w:rsidR="00ED01C0" w:rsidRDefault="004308EC" w:rsidP="00AC7860">
            <w:pPr>
              <w:rPr>
                <w:sz w:val="22"/>
                <w:szCs w:val="22"/>
              </w:rPr>
            </w:pPr>
            <w:r>
              <w:rPr>
                <w:sz w:val="22"/>
                <w:szCs w:val="22"/>
              </w:rPr>
              <w:t>R</w:t>
            </w:r>
            <w:r w:rsidR="00ED01C0">
              <w:rPr>
                <w:sz w:val="22"/>
                <w:szCs w:val="22"/>
              </w:rPr>
              <w:t>etained by the school.</w:t>
            </w:r>
          </w:p>
          <w:p w:rsidR="00ED01C0" w:rsidRDefault="00ED01C0" w:rsidP="00AC7860">
            <w:pPr>
              <w:rPr>
                <w:sz w:val="22"/>
                <w:szCs w:val="22"/>
              </w:rPr>
            </w:pPr>
          </w:p>
        </w:tc>
        <w:tc>
          <w:tcPr>
            <w:tcW w:w="2410" w:type="dxa"/>
          </w:tcPr>
          <w:p w:rsidR="007426B7" w:rsidRDefault="007426B7" w:rsidP="00F47E8F">
            <w:pPr>
              <w:rPr>
                <w:sz w:val="22"/>
                <w:szCs w:val="22"/>
              </w:rPr>
            </w:pPr>
            <w:r>
              <w:rPr>
                <w:sz w:val="22"/>
                <w:szCs w:val="22"/>
              </w:rPr>
              <w:t>Agreed per-pupil top up paid by the commissioning local authority.</w:t>
            </w:r>
          </w:p>
          <w:p w:rsidR="007426B7" w:rsidRDefault="007426B7" w:rsidP="00F47E8F">
            <w:pPr>
              <w:rPr>
                <w:sz w:val="22"/>
                <w:szCs w:val="22"/>
              </w:rPr>
            </w:pPr>
          </w:p>
          <w:p w:rsidR="007426B7" w:rsidRDefault="007426B7" w:rsidP="00F47E8F">
            <w:pPr>
              <w:rPr>
                <w:sz w:val="22"/>
                <w:szCs w:val="22"/>
              </w:rPr>
            </w:pPr>
            <w:r>
              <w:rPr>
                <w:sz w:val="22"/>
                <w:szCs w:val="22"/>
              </w:rPr>
              <w:t>Allocated in ‘real time’ during the year. Changes for starters and leavers.</w:t>
            </w:r>
          </w:p>
          <w:p w:rsidR="007426B7" w:rsidRDefault="007426B7" w:rsidP="00F47E8F">
            <w:pPr>
              <w:rPr>
                <w:sz w:val="22"/>
                <w:szCs w:val="22"/>
              </w:rPr>
            </w:pPr>
          </w:p>
          <w:p w:rsidR="00ED01C0" w:rsidRDefault="00ED01C0" w:rsidP="00ED01C0">
            <w:pPr>
              <w:rPr>
                <w:sz w:val="22"/>
                <w:szCs w:val="22"/>
              </w:rPr>
            </w:pPr>
            <w:r>
              <w:rPr>
                <w:sz w:val="22"/>
                <w:szCs w:val="22"/>
              </w:rPr>
              <w:t>Bradford currently uses a Ranges Model (see appendix 2). Proposed to move to a new Banded Model at April 2020 (see appendix 3).</w:t>
            </w:r>
          </w:p>
          <w:p w:rsidR="00ED01C0" w:rsidRDefault="00ED01C0" w:rsidP="00ED01C0">
            <w:pPr>
              <w:rPr>
                <w:sz w:val="22"/>
                <w:szCs w:val="22"/>
              </w:rPr>
            </w:pPr>
          </w:p>
          <w:p w:rsidR="00ED01C0" w:rsidRDefault="00ED01C0" w:rsidP="00ED01C0">
            <w:pPr>
              <w:rPr>
                <w:sz w:val="22"/>
                <w:szCs w:val="22"/>
              </w:rPr>
            </w:pPr>
            <w:r>
              <w:rPr>
                <w:sz w:val="22"/>
                <w:szCs w:val="22"/>
              </w:rPr>
              <w:t>The top up funding is allocated to and retained by the school.</w:t>
            </w:r>
          </w:p>
          <w:p w:rsidR="007426B7" w:rsidRDefault="007426B7" w:rsidP="00F47E8F">
            <w:pPr>
              <w:rPr>
                <w:sz w:val="22"/>
                <w:szCs w:val="22"/>
              </w:rPr>
            </w:pPr>
          </w:p>
        </w:tc>
        <w:tc>
          <w:tcPr>
            <w:tcW w:w="2410" w:type="dxa"/>
          </w:tcPr>
          <w:p w:rsidR="007426B7" w:rsidRDefault="007426B7" w:rsidP="00FE01F3">
            <w:pPr>
              <w:rPr>
                <w:sz w:val="22"/>
                <w:szCs w:val="22"/>
              </w:rPr>
            </w:pPr>
            <w:r>
              <w:rPr>
                <w:sz w:val="22"/>
                <w:szCs w:val="22"/>
              </w:rPr>
              <w:t>£10,000 per place based on an agreed number of places.</w:t>
            </w:r>
          </w:p>
          <w:p w:rsidR="007426B7" w:rsidRDefault="007426B7" w:rsidP="00FE01F3">
            <w:pPr>
              <w:rPr>
                <w:sz w:val="22"/>
                <w:szCs w:val="22"/>
              </w:rPr>
            </w:pPr>
          </w:p>
          <w:p w:rsidR="00BC21E5" w:rsidRDefault="00BC21E5" w:rsidP="00BC21E5">
            <w:pPr>
              <w:rPr>
                <w:sz w:val="22"/>
                <w:szCs w:val="22"/>
              </w:rPr>
            </w:pPr>
            <w:r>
              <w:rPr>
                <w:sz w:val="22"/>
                <w:szCs w:val="22"/>
              </w:rPr>
              <w:t>Additional place-funding is allocated</w:t>
            </w:r>
            <w:r w:rsidR="00E32B6E">
              <w:rPr>
                <w:sz w:val="22"/>
                <w:szCs w:val="22"/>
              </w:rPr>
              <w:t xml:space="preserve"> in real time</w:t>
            </w:r>
            <w:r>
              <w:rPr>
                <w:sz w:val="22"/>
                <w:szCs w:val="22"/>
              </w:rPr>
              <w:t xml:space="preserve"> where occupancy is exceeded, with an end of year reconciliation to ensure no overall overpayment of additional place-led funding for actual total composite occupancy across the year.</w:t>
            </w:r>
          </w:p>
          <w:p w:rsidR="00BC21E5" w:rsidRDefault="00BC21E5" w:rsidP="00BC21E5">
            <w:pPr>
              <w:rPr>
                <w:sz w:val="22"/>
                <w:szCs w:val="22"/>
              </w:rPr>
            </w:pPr>
          </w:p>
          <w:p w:rsidR="00BC21E5" w:rsidRDefault="00E32B6E" w:rsidP="00BC21E5">
            <w:pPr>
              <w:rPr>
                <w:sz w:val="22"/>
                <w:szCs w:val="22"/>
              </w:rPr>
            </w:pPr>
            <w:r>
              <w:rPr>
                <w:sz w:val="22"/>
                <w:szCs w:val="22"/>
              </w:rPr>
              <w:t>R</w:t>
            </w:r>
            <w:r w:rsidR="00BC21E5">
              <w:rPr>
                <w:sz w:val="22"/>
                <w:szCs w:val="22"/>
              </w:rPr>
              <w:t>etained by the school.</w:t>
            </w:r>
          </w:p>
          <w:p w:rsidR="007426B7" w:rsidRDefault="007426B7" w:rsidP="00FE01F3">
            <w:pPr>
              <w:rPr>
                <w:sz w:val="22"/>
                <w:szCs w:val="22"/>
              </w:rPr>
            </w:pPr>
          </w:p>
        </w:tc>
        <w:tc>
          <w:tcPr>
            <w:tcW w:w="2126" w:type="dxa"/>
          </w:tcPr>
          <w:p w:rsidR="007426B7" w:rsidRDefault="007426B7" w:rsidP="00FE01F3">
            <w:pPr>
              <w:rPr>
                <w:sz w:val="22"/>
                <w:szCs w:val="22"/>
              </w:rPr>
            </w:pPr>
            <w:r>
              <w:rPr>
                <w:sz w:val="22"/>
                <w:szCs w:val="22"/>
              </w:rPr>
              <w:t>Agreed per-pupil top up paid by the commissioning local authority.</w:t>
            </w:r>
          </w:p>
          <w:p w:rsidR="007426B7" w:rsidRDefault="007426B7" w:rsidP="00FE01F3">
            <w:pPr>
              <w:rPr>
                <w:sz w:val="22"/>
                <w:szCs w:val="22"/>
              </w:rPr>
            </w:pPr>
          </w:p>
          <w:p w:rsidR="007426B7" w:rsidRDefault="007426B7" w:rsidP="00FE01F3">
            <w:pPr>
              <w:rPr>
                <w:sz w:val="22"/>
                <w:szCs w:val="22"/>
              </w:rPr>
            </w:pPr>
            <w:r>
              <w:rPr>
                <w:sz w:val="22"/>
                <w:szCs w:val="22"/>
              </w:rPr>
              <w:t>Allocated in ‘real time’ during the year. Changes for starters and leavers.</w:t>
            </w:r>
          </w:p>
          <w:p w:rsidR="007426B7" w:rsidRDefault="007426B7" w:rsidP="00FE01F3">
            <w:pPr>
              <w:rPr>
                <w:sz w:val="22"/>
                <w:szCs w:val="22"/>
              </w:rPr>
            </w:pPr>
          </w:p>
          <w:p w:rsidR="00BC21E5" w:rsidRDefault="00BC21E5" w:rsidP="00BC21E5">
            <w:pPr>
              <w:rPr>
                <w:sz w:val="22"/>
                <w:szCs w:val="22"/>
              </w:rPr>
            </w:pPr>
            <w:r>
              <w:rPr>
                <w:sz w:val="22"/>
                <w:szCs w:val="22"/>
              </w:rPr>
              <w:t>Bradford currently uses a Ranges Model (see appendix 2). Proposed to move to a new Banded Model at April 2020 (see appendix 3).</w:t>
            </w:r>
          </w:p>
          <w:p w:rsidR="00BC21E5" w:rsidRDefault="00BC21E5" w:rsidP="00BC21E5">
            <w:pPr>
              <w:rPr>
                <w:sz w:val="22"/>
                <w:szCs w:val="22"/>
              </w:rPr>
            </w:pPr>
          </w:p>
          <w:p w:rsidR="00BC21E5" w:rsidRDefault="00BC21E5" w:rsidP="00BC21E5">
            <w:pPr>
              <w:rPr>
                <w:sz w:val="22"/>
                <w:szCs w:val="22"/>
              </w:rPr>
            </w:pPr>
            <w:r>
              <w:rPr>
                <w:sz w:val="22"/>
                <w:szCs w:val="22"/>
              </w:rPr>
              <w:t>The top up funding is allocated to and retained by the school.</w:t>
            </w:r>
          </w:p>
          <w:p w:rsidR="007426B7" w:rsidRDefault="007426B7" w:rsidP="00FE01F3">
            <w:pPr>
              <w:rPr>
                <w:sz w:val="22"/>
                <w:szCs w:val="22"/>
              </w:rPr>
            </w:pPr>
          </w:p>
        </w:tc>
        <w:tc>
          <w:tcPr>
            <w:tcW w:w="2126" w:type="dxa"/>
          </w:tcPr>
          <w:p w:rsidR="007426B7" w:rsidRDefault="007426B7" w:rsidP="00AC7860">
            <w:pPr>
              <w:rPr>
                <w:sz w:val="22"/>
                <w:szCs w:val="22"/>
              </w:rPr>
            </w:pPr>
            <w:r>
              <w:rPr>
                <w:sz w:val="22"/>
                <w:szCs w:val="22"/>
              </w:rPr>
              <w:t>Split Sites</w:t>
            </w:r>
            <w:r w:rsidR="00680B98">
              <w:rPr>
                <w:sz w:val="22"/>
                <w:szCs w:val="22"/>
              </w:rPr>
              <w:t>. Proposal to enhance this funding from April 2020.</w:t>
            </w:r>
          </w:p>
          <w:p w:rsidR="007426B7" w:rsidRDefault="007426B7" w:rsidP="00AC7860">
            <w:pPr>
              <w:rPr>
                <w:sz w:val="22"/>
                <w:szCs w:val="22"/>
              </w:rPr>
            </w:pPr>
          </w:p>
          <w:p w:rsidR="007426B7" w:rsidRDefault="007426B7" w:rsidP="00AC7860">
            <w:pPr>
              <w:rPr>
                <w:sz w:val="22"/>
                <w:szCs w:val="22"/>
              </w:rPr>
            </w:pPr>
            <w:r>
              <w:rPr>
                <w:sz w:val="22"/>
                <w:szCs w:val="22"/>
              </w:rPr>
              <w:t>Post 16 element 1 enhancement.</w:t>
            </w:r>
          </w:p>
          <w:p w:rsidR="007426B7" w:rsidRDefault="007426B7" w:rsidP="00AC7860">
            <w:pPr>
              <w:rPr>
                <w:sz w:val="22"/>
                <w:szCs w:val="22"/>
              </w:rPr>
            </w:pPr>
          </w:p>
          <w:p w:rsidR="007426B7" w:rsidRDefault="007426B7" w:rsidP="00AC7860">
            <w:pPr>
              <w:rPr>
                <w:sz w:val="22"/>
                <w:szCs w:val="22"/>
              </w:rPr>
            </w:pPr>
            <w:r>
              <w:rPr>
                <w:sz w:val="22"/>
                <w:szCs w:val="22"/>
              </w:rPr>
              <w:t>New Services Delegation.</w:t>
            </w:r>
          </w:p>
          <w:p w:rsidR="007426B7" w:rsidRDefault="007426B7" w:rsidP="00AC7860">
            <w:pPr>
              <w:rPr>
                <w:sz w:val="22"/>
                <w:szCs w:val="22"/>
              </w:rPr>
            </w:pPr>
          </w:p>
          <w:p w:rsidR="007426B7" w:rsidRDefault="007426B7" w:rsidP="00AC7860">
            <w:pPr>
              <w:rPr>
                <w:sz w:val="22"/>
                <w:szCs w:val="22"/>
              </w:rPr>
            </w:pPr>
            <w:r>
              <w:rPr>
                <w:sz w:val="22"/>
                <w:szCs w:val="22"/>
              </w:rPr>
              <w:t>Small Setting Protection.</w:t>
            </w:r>
          </w:p>
          <w:p w:rsidR="007426B7" w:rsidRDefault="007426B7" w:rsidP="00AC7860">
            <w:pPr>
              <w:rPr>
                <w:sz w:val="22"/>
                <w:szCs w:val="22"/>
              </w:rPr>
            </w:pPr>
          </w:p>
          <w:p w:rsidR="007426B7" w:rsidRDefault="007426B7" w:rsidP="00AC7860">
            <w:pPr>
              <w:rPr>
                <w:sz w:val="22"/>
                <w:szCs w:val="22"/>
              </w:rPr>
            </w:pPr>
            <w:r>
              <w:rPr>
                <w:sz w:val="22"/>
                <w:szCs w:val="22"/>
              </w:rPr>
              <w:t>3% Cash Budget Protection.</w:t>
            </w:r>
          </w:p>
          <w:p w:rsidR="00A03632" w:rsidRDefault="00A03632" w:rsidP="00AC7860">
            <w:pPr>
              <w:rPr>
                <w:sz w:val="22"/>
                <w:szCs w:val="22"/>
              </w:rPr>
            </w:pPr>
          </w:p>
          <w:p w:rsidR="00A03632" w:rsidRDefault="00A03632" w:rsidP="00AC7860">
            <w:pPr>
              <w:rPr>
                <w:sz w:val="22"/>
                <w:szCs w:val="22"/>
              </w:rPr>
            </w:pPr>
            <w:r>
              <w:rPr>
                <w:sz w:val="22"/>
                <w:szCs w:val="22"/>
              </w:rPr>
              <w:t>Please see appendix 4.</w:t>
            </w:r>
          </w:p>
        </w:tc>
        <w:tc>
          <w:tcPr>
            <w:tcW w:w="1985" w:type="dxa"/>
          </w:tcPr>
          <w:p w:rsidR="007426B7" w:rsidRDefault="007426B7" w:rsidP="00AC7860">
            <w:pPr>
              <w:rPr>
                <w:sz w:val="22"/>
                <w:szCs w:val="22"/>
              </w:rPr>
            </w:pPr>
            <w:r>
              <w:rPr>
                <w:sz w:val="22"/>
                <w:szCs w:val="22"/>
              </w:rPr>
              <w:t>None.</w:t>
            </w:r>
          </w:p>
        </w:tc>
      </w:tr>
      <w:tr w:rsidR="007426B7" w:rsidTr="004D4AED">
        <w:tc>
          <w:tcPr>
            <w:tcW w:w="2376" w:type="dxa"/>
          </w:tcPr>
          <w:p w:rsidR="007426B7" w:rsidRDefault="007426B7" w:rsidP="008D56E1">
            <w:pPr>
              <w:rPr>
                <w:sz w:val="22"/>
                <w:szCs w:val="22"/>
              </w:rPr>
            </w:pPr>
            <w:r w:rsidRPr="00271340">
              <w:rPr>
                <w:b/>
                <w:sz w:val="22"/>
                <w:szCs w:val="22"/>
              </w:rPr>
              <w:t>Primary Behaviour Centres</w:t>
            </w:r>
            <w:r w:rsidR="004308EC">
              <w:rPr>
                <w:sz w:val="22"/>
                <w:szCs w:val="22"/>
              </w:rPr>
              <w:t xml:space="preserve"> (funding of provision for pupils permanently excluded)</w:t>
            </w:r>
          </w:p>
          <w:p w:rsidR="004308EC" w:rsidRDefault="004308EC" w:rsidP="008D56E1">
            <w:pPr>
              <w:rPr>
                <w:sz w:val="22"/>
                <w:szCs w:val="22"/>
              </w:rPr>
            </w:pPr>
          </w:p>
          <w:p w:rsidR="004308EC" w:rsidRPr="004308EC" w:rsidRDefault="004308EC" w:rsidP="008D56E1">
            <w:pPr>
              <w:rPr>
                <w:i/>
                <w:sz w:val="22"/>
                <w:szCs w:val="22"/>
              </w:rPr>
            </w:pPr>
            <w:r>
              <w:rPr>
                <w:i/>
                <w:sz w:val="22"/>
                <w:szCs w:val="22"/>
              </w:rPr>
              <w:t>Note that the High Needs Block’s funding of the</w:t>
            </w:r>
            <w:r w:rsidR="00E32B6E">
              <w:rPr>
                <w:i/>
                <w:sz w:val="22"/>
                <w:szCs w:val="22"/>
              </w:rPr>
              <w:t>se Centres ceases</w:t>
            </w:r>
            <w:r>
              <w:rPr>
                <w:i/>
                <w:sz w:val="22"/>
                <w:szCs w:val="22"/>
              </w:rPr>
              <w:t xml:space="preserve"> </w:t>
            </w:r>
            <w:r w:rsidR="00E32B6E">
              <w:rPr>
                <w:i/>
                <w:sz w:val="22"/>
                <w:szCs w:val="22"/>
              </w:rPr>
              <w:t>at</w:t>
            </w:r>
            <w:r>
              <w:rPr>
                <w:i/>
                <w:sz w:val="22"/>
                <w:szCs w:val="22"/>
              </w:rPr>
              <w:t xml:space="preserve"> 31 August 2020</w:t>
            </w:r>
            <w:r w:rsidR="00E32B6E">
              <w:rPr>
                <w:i/>
                <w:sz w:val="22"/>
                <w:szCs w:val="22"/>
              </w:rPr>
              <w:t>.</w:t>
            </w:r>
          </w:p>
        </w:tc>
        <w:tc>
          <w:tcPr>
            <w:tcW w:w="2268" w:type="dxa"/>
          </w:tcPr>
          <w:p w:rsidR="00E32B6E" w:rsidRDefault="00E32B6E" w:rsidP="00E32B6E">
            <w:pPr>
              <w:rPr>
                <w:sz w:val="22"/>
                <w:szCs w:val="22"/>
              </w:rPr>
            </w:pPr>
            <w:r>
              <w:rPr>
                <w:sz w:val="22"/>
                <w:szCs w:val="22"/>
              </w:rPr>
              <w:t>Elements 1 and 2 are combined in a fixed £10,000 per place, based on an agreed number of places to be commissioned.</w:t>
            </w:r>
          </w:p>
          <w:p w:rsidR="007426B7" w:rsidRDefault="007426B7" w:rsidP="00914732">
            <w:pPr>
              <w:rPr>
                <w:sz w:val="22"/>
                <w:szCs w:val="22"/>
              </w:rPr>
            </w:pPr>
          </w:p>
          <w:p w:rsidR="004308EC" w:rsidRDefault="004308EC" w:rsidP="004308EC">
            <w:pPr>
              <w:rPr>
                <w:sz w:val="22"/>
                <w:szCs w:val="22"/>
              </w:rPr>
            </w:pPr>
            <w:r>
              <w:rPr>
                <w:sz w:val="22"/>
                <w:szCs w:val="22"/>
              </w:rPr>
              <w:t>Retained by the school.</w:t>
            </w:r>
          </w:p>
          <w:p w:rsidR="004308EC" w:rsidRDefault="004308EC" w:rsidP="004308EC">
            <w:pPr>
              <w:rPr>
                <w:sz w:val="22"/>
                <w:szCs w:val="22"/>
              </w:rPr>
            </w:pPr>
          </w:p>
          <w:p w:rsidR="004308EC" w:rsidRDefault="00E32B6E" w:rsidP="004308EC">
            <w:pPr>
              <w:rPr>
                <w:sz w:val="22"/>
                <w:szCs w:val="22"/>
              </w:rPr>
            </w:pPr>
            <w:r>
              <w:rPr>
                <w:sz w:val="22"/>
                <w:szCs w:val="22"/>
              </w:rPr>
              <w:t>The HNB’s funding ceases at</w:t>
            </w:r>
            <w:r w:rsidR="004308EC">
              <w:rPr>
                <w:sz w:val="22"/>
                <w:szCs w:val="22"/>
              </w:rPr>
              <w:t xml:space="preserve"> 31 August 2020.</w:t>
            </w:r>
          </w:p>
          <w:p w:rsidR="004308EC" w:rsidRDefault="004308EC" w:rsidP="004308EC">
            <w:pPr>
              <w:rPr>
                <w:sz w:val="22"/>
                <w:szCs w:val="22"/>
              </w:rPr>
            </w:pPr>
          </w:p>
          <w:p w:rsidR="004308EC" w:rsidRDefault="004308EC" w:rsidP="00914732">
            <w:pPr>
              <w:rPr>
                <w:sz w:val="22"/>
                <w:szCs w:val="22"/>
              </w:rPr>
            </w:pPr>
          </w:p>
        </w:tc>
        <w:tc>
          <w:tcPr>
            <w:tcW w:w="2410" w:type="dxa"/>
          </w:tcPr>
          <w:p w:rsidR="007426B7" w:rsidRDefault="007426B7" w:rsidP="00914732">
            <w:pPr>
              <w:rPr>
                <w:sz w:val="22"/>
                <w:szCs w:val="22"/>
              </w:rPr>
            </w:pPr>
            <w:r>
              <w:rPr>
                <w:sz w:val="22"/>
                <w:szCs w:val="22"/>
              </w:rPr>
              <w:t>Agreed per-pupil top up paid by the commissioning local authority or school.</w:t>
            </w:r>
          </w:p>
          <w:p w:rsidR="007426B7" w:rsidRDefault="007426B7" w:rsidP="00914732">
            <w:pPr>
              <w:rPr>
                <w:sz w:val="22"/>
                <w:szCs w:val="22"/>
              </w:rPr>
            </w:pPr>
          </w:p>
          <w:p w:rsidR="007426B7" w:rsidRDefault="007426B7" w:rsidP="00914732">
            <w:pPr>
              <w:rPr>
                <w:sz w:val="22"/>
                <w:szCs w:val="22"/>
              </w:rPr>
            </w:pPr>
            <w:r>
              <w:rPr>
                <w:sz w:val="22"/>
                <w:szCs w:val="22"/>
              </w:rPr>
              <w:t>Allocated in ‘real time’ during the year. Changes for starters and leavers.</w:t>
            </w:r>
          </w:p>
          <w:p w:rsidR="007426B7" w:rsidRDefault="007426B7" w:rsidP="00914732">
            <w:pPr>
              <w:rPr>
                <w:sz w:val="22"/>
                <w:szCs w:val="22"/>
              </w:rPr>
            </w:pPr>
          </w:p>
          <w:p w:rsidR="004308EC" w:rsidRDefault="004308EC" w:rsidP="004308EC">
            <w:pPr>
              <w:rPr>
                <w:sz w:val="22"/>
                <w:szCs w:val="22"/>
              </w:rPr>
            </w:pPr>
            <w:r>
              <w:rPr>
                <w:sz w:val="22"/>
                <w:szCs w:val="22"/>
              </w:rPr>
              <w:t xml:space="preserve">Bradford currently uses a formulaic approach based on the Ranges Model (see appendix 2). </w:t>
            </w:r>
          </w:p>
          <w:p w:rsidR="004308EC" w:rsidRDefault="004308EC" w:rsidP="004308EC">
            <w:pPr>
              <w:rPr>
                <w:sz w:val="22"/>
                <w:szCs w:val="22"/>
              </w:rPr>
            </w:pPr>
          </w:p>
          <w:p w:rsidR="004308EC" w:rsidRDefault="004308EC" w:rsidP="004308EC">
            <w:pPr>
              <w:rPr>
                <w:sz w:val="22"/>
                <w:szCs w:val="22"/>
              </w:rPr>
            </w:pPr>
            <w:r>
              <w:rPr>
                <w:sz w:val="22"/>
                <w:szCs w:val="22"/>
              </w:rPr>
              <w:t>The top up funding is allocated to and retained by the school.</w:t>
            </w:r>
          </w:p>
          <w:p w:rsidR="00E32B6E" w:rsidRDefault="00E32B6E" w:rsidP="004308EC">
            <w:pPr>
              <w:rPr>
                <w:sz w:val="22"/>
                <w:szCs w:val="22"/>
              </w:rPr>
            </w:pPr>
          </w:p>
          <w:p w:rsidR="00E32B6E" w:rsidRDefault="00E32B6E" w:rsidP="00E32B6E">
            <w:pPr>
              <w:rPr>
                <w:sz w:val="22"/>
                <w:szCs w:val="22"/>
              </w:rPr>
            </w:pPr>
            <w:r>
              <w:rPr>
                <w:sz w:val="22"/>
                <w:szCs w:val="22"/>
              </w:rPr>
              <w:t>The HNB’s funding ceases at 31 August 2020.</w:t>
            </w:r>
          </w:p>
          <w:p w:rsidR="007426B7" w:rsidRDefault="007426B7" w:rsidP="00AC7860">
            <w:pPr>
              <w:rPr>
                <w:sz w:val="22"/>
                <w:szCs w:val="22"/>
              </w:rPr>
            </w:pPr>
          </w:p>
        </w:tc>
        <w:tc>
          <w:tcPr>
            <w:tcW w:w="2410"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None.</w:t>
            </w:r>
          </w:p>
        </w:tc>
        <w:tc>
          <w:tcPr>
            <w:tcW w:w="1985" w:type="dxa"/>
          </w:tcPr>
          <w:p w:rsidR="007426B7" w:rsidRDefault="007426B7" w:rsidP="00AC7860">
            <w:pPr>
              <w:rPr>
                <w:sz w:val="22"/>
                <w:szCs w:val="22"/>
              </w:rPr>
            </w:pPr>
            <w:r>
              <w:rPr>
                <w:sz w:val="22"/>
                <w:szCs w:val="22"/>
              </w:rPr>
              <w:t>None.</w:t>
            </w:r>
          </w:p>
        </w:tc>
      </w:tr>
      <w:tr w:rsidR="007426B7" w:rsidTr="004D4AED">
        <w:tc>
          <w:tcPr>
            <w:tcW w:w="2376" w:type="dxa"/>
          </w:tcPr>
          <w:p w:rsidR="007426B7" w:rsidRDefault="007426B7" w:rsidP="004308EC">
            <w:pPr>
              <w:rPr>
                <w:sz w:val="22"/>
                <w:szCs w:val="22"/>
              </w:rPr>
            </w:pPr>
            <w:r w:rsidRPr="00271340">
              <w:rPr>
                <w:b/>
                <w:sz w:val="22"/>
                <w:szCs w:val="22"/>
              </w:rPr>
              <w:t>PRUs</w:t>
            </w:r>
            <w:r w:rsidR="004308EC">
              <w:rPr>
                <w:sz w:val="22"/>
                <w:szCs w:val="22"/>
              </w:rPr>
              <w:t xml:space="preserve"> (funding provision for pupils permanently excluded).</w:t>
            </w:r>
          </w:p>
          <w:p w:rsidR="004308EC" w:rsidRDefault="004308EC" w:rsidP="004308EC">
            <w:pPr>
              <w:rPr>
                <w:sz w:val="22"/>
                <w:szCs w:val="22"/>
              </w:rPr>
            </w:pPr>
          </w:p>
          <w:p w:rsidR="00995305" w:rsidRDefault="004308EC" w:rsidP="004308EC">
            <w:pPr>
              <w:rPr>
                <w:i/>
                <w:sz w:val="22"/>
                <w:szCs w:val="22"/>
              </w:rPr>
            </w:pPr>
            <w:r>
              <w:rPr>
                <w:i/>
                <w:sz w:val="22"/>
                <w:szCs w:val="22"/>
              </w:rPr>
              <w:t xml:space="preserve">Note that </w:t>
            </w:r>
            <w:r w:rsidR="00995305">
              <w:rPr>
                <w:i/>
                <w:sz w:val="22"/>
                <w:szCs w:val="22"/>
              </w:rPr>
              <w:t xml:space="preserve">our </w:t>
            </w:r>
            <w:r>
              <w:rPr>
                <w:i/>
                <w:sz w:val="22"/>
                <w:szCs w:val="22"/>
              </w:rPr>
              <w:t>PRU provisions are current</w:t>
            </w:r>
            <w:r w:rsidR="00995305">
              <w:rPr>
                <w:i/>
                <w:sz w:val="22"/>
                <w:szCs w:val="22"/>
              </w:rPr>
              <w:t>ly</w:t>
            </w:r>
            <w:r>
              <w:rPr>
                <w:i/>
                <w:sz w:val="22"/>
                <w:szCs w:val="22"/>
              </w:rPr>
              <w:t xml:space="preserve"> in </w:t>
            </w:r>
            <w:r w:rsidR="00995305">
              <w:rPr>
                <w:i/>
                <w:sz w:val="22"/>
                <w:szCs w:val="22"/>
              </w:rPr>
              <w:t>transition and some short term</w:t>
            </w:r>
            <w:r>
              <w:rPr>
                <w:i/>
                <w:sz w:val="22"/>
                <w:szCs w:val="22"/>
              </w:rPr>
              <w:t xml:space="preserve"> protection arrangements are in place. This table outlines the new funding arrangements expected to be fully in place at 1 September 2020. </w:t>
            </w:r>
          </w:p>
          <w:p w:rsidR="00995305" w:rsidRDefault="00995305" w:rsidP="004308EC">
            <w:pPr>
              <w:rPr>
                <w:i/>
                <w:sz w:val="22"/>
                <w:szCs w:val="22"/>
              </w:rPr>
            </w:pPr>
          </w:p>
          <w:p w:rsidR="004308EC" w:rsidRDefault="004308EC" w:rsidP="004308EC">
            <w:pPr>
              <w:rPr>
                <w:i/>
                <w:sz w:val="22"/>
                <w:szCs w:val="22"/>
              </w:rPr>
            </w:pPr>
            <w:r>
              <w:rPr>
                <w:i/>
                <w:sz w:val="22"/>
                <w:szCs w:val="22"/>
              </w:rPr>
              <w:t>The HNB’s funding of District PRU ceases at 31 August 2020.</w:t>
            </w:r>
          </w:p>
          <w:p w:rsidR="004308EC" w:rsidRPr="004308EC" w:rsidRDefault="004308EC" w:rsidP="004308EC">
            <w:pPr>
              <w:rPr>
                <w:i/>
                <w:sz w:val="22"/>
                <w:szCs w:val="22"/>
              </w:rPr>
            </w:pPr>
          </w:p>
        </w:tc>
        <w:tc>
          <w:tcPr>
            <w:tcW w:w="2268" w:type="dxa"/>
          </w:tcPr>
          <w:p w:rsidR="00E32B6E" w:rsidRDefault="00E32B6E" w:rsidP="00E32B6E">
            <w:pPr>
              <w:rPr>
                <w:sz w:val="22"/>
                <w:szCs w:val="22"/>
              </w:rPr>
            </w:pPr>
            <w:r>
              <w:rPr>
                <w:sz w:val="22"/>
                <w:szCs w:val="22"/>
              </w:rPr>
              <w:t>Elements 1 and 2 are combined in a fixed £10,000 per place, based on an agreed number of places to be commissioned.</w:t>
            </w:r>
          </w:p>
          <w:p w:rsidR="007426B7" w:rsidRDefault="007426B7" w:rsidP="00FE01F3">
            <w:pPr>
              <w:rPr>
                <w:sz w:val="22"/>
                <w:szCs w:val="22"/>
              </w:rPr>
            </w:pPr>
          </w:p>
          <w:p w:rsidR="004308EC" w:rsidRDefault="004308EC" w:rsidP="004308EC">
            <w:pPr>
              <w:rPr>
                <w:sz w:val="22"/>
                <w:szCs w:val="22"/>
              </w:rPr>
            </w:pPr>
            <w:r>
              <w:rPr>
                <w:sz w:val="22"/>
                <w:szCs w:val="22"/>
              </w:rPr>
              <w:t>Retained by the PRU.</w:t>
            </w:r>
          </w:p>
          <w:p w:rsidR="004308EC" w:rsidRDefault="004308EC" w:rsidP="004308EC">
            <w:pPr>
              <w:rPr>
                <w:sz w:val="22"/>
                <w:szCs w:val="22"/>
              </w:rPr>
            </w:pPr>
          </w:p>
          <w:p w:rsidR="004308EC" w:rsidRPr="004308EC" w:rsidRDefault="004308EC" w:rsidP="004308EC">
            <w:pPr>
              <w:rPr>
                <w:sz w:val="22"/>
                <w:szCs w:val="22"/>
              </w:rPr>
            </w:pPr>
            <w:r w:rsidRPr="004308EC">
              <w:rPr>
                <w:sz w:val="22"/>
                <w:szCs w:val="22"/>
              </w:rPr>
              <w:t>The HNB’s funding of District PRU ceases at 31 August 2020.</w:t>
            </w:r>
          </w:p>
          <w:p w:rsidR="004308EC" w:rsidRDefault="004308EC" w:rsidP="00FE01F3">
            <w:pPr>
              <w:rPr>
                <w:sz w:val="22"/>
                <w:szCs w:val="22"/>
              </w:rPr>
            </w:pPr>
          </w:p>
        </w:tc>
        <w:tc>
          <w:tcPr>
            <w:tcW w:w="2410" w:type="dxa"/>
          </w:tcPr>
          <w:p w:rsidR="007426B7" w:rsidRDefault="007426B7" w:rsidP="00FE01F3">
            <w:pPr>
              <w:rPr>
                <w:sz w:val="22"/>
                <w:szCs w:val="22"/>
              </w:rPr>
            </w:pPr>
            <w:r>
              <w:rPr>
                <w:sz w:val="22"/>
                <w:szCs w:val="22"/>
              </w:rPr>
              <w:t>Agreed per-pupil top up paid by th</w:t>
            </w:r>
            <w:r w:rsidR="004308EC">
              <w:rPr>
                <w:sz w:val="22"/>
                <w:szCs w:val="22"/>
              </w:rPr>
              <w:t>e commissioning local authority.</w:t>
            </w:r>
          </w:p>
          <w:p w:rsidR="007426B7" w:rsidRDefault="007426B7" w:rsidP="00FE01F3">
            <w:pPr>
              <w:rPr>
                <w:sz w:val="22"/>
                <w:szCs w:val="22"/>
              </w:rPr>
            </w:pPr>
          </w:p>
          <w:p w:rsidR="007426B7" w:rsidRDefault="007426B7" w:rsidP="00FE01F3">
            <w:pPr>
              <w:rPr>
                <w:sz w:val="22"/>
                <w:szCs w:val="22"/>
              </w:rPr>
            </w:pPr>
            <w:r>
              <w:rPr>
                <w:sz w:val="22"/>
                <w:szCs w:val="22"/>
              </w:rPr>
              <w:t>Allocated in ‘real time’ during the year. Changes for starters and leavers.</w:t>
            </w:r>
          </w:p>
          <w:p w:rsidR="007426B7" w:rsidRDefault="007426B7" w:rsidP="00FE01F3">
            <w:pPr>
              <w:rPr>
                <w:sz w:val="22"/>
                <w:szCs w:val="22"/>
              </w:rPr>
            </w:pPr>
          </w:p>
          <w:p w:rsidR="004308EC" w:rsidRDefault="004308EC" w:rsidP="004308EC">
            <w:pPr>
              <w:rPr>
                <w:sz w:val="22"/>
                <w:szCs w:val="22"/>
              </w:rPr>
            </w:pPr>
            <w:r>
              <w:rPr>
                <w:sz w:val="22"/>
                <w:szCs w:val="22"/>
              </w:rPr>
              <w:t>Bradford currently uses a Ranges Model (see appendix 2). Proposed to move to a new Day Rate mechanism at April 2020 with some transitional protection arrangement</w:t>
            </w:r>
            <w:r w:rsidR="00995305">
              <w:rPr>
                <w:sz w:val="22"/>
                <w:szCs w:val="22"/>
              </w:rPr>
              <w:t>s</w:t>
            </w:r>
            <w:r>
              <w:rPr>
                <w:sz w:val="22"/>
                <w:szCs w:val="22"/>
              </w:rPr>
              <w:t xml:space="preserve"> in place </w:t>
            </w:r>
            <w:r w:rsidR="00995305">
              <w:rPr>
                <w:sz w:val="22"/>
                <w:szCs w:val="22"/>
              </w:rPr>
              <w:t xml:space="preserve">up </w:t>
            </w:r>
            <w:r>
              <w:rPr>
                <w:sz w:val="22"/>
                <w:szCs w:val="22"/>
              </w:rPr>
              <w:t>to 31 August 2020.</w:t>
            </w:r>
          </w:p>
          <w:p w:rsidR="004308EC" w:rsidRDefault="004308EC" w:rsidP="004308EC">
            <w:pPr>
              <w:rPr>
                <w:sz w:val="22"/>
                <w:szCs w:val="22"/>
              </w:rPr>
            </w:pPr>
          </w:p>
          <w:p w:rsidR="004308EC" w:rsidRDefault="004308EC" w:rsidP="004308EC">
            <w:pPr>
              <w:rPr>
                <w:sz w:val="22"/>
                <w:szCs w:val="22"/>
              </w:rPr>
            </w:pPr>
            <w:r>
              <w:rPr>
                <w:sz w:val="22"/>
                <w:szCs w:val="22"/>
              </w:rPr>
              <w:t>The top up funding is allocat</w:t>
            </w:r>
            <w:r w:rsidR="00020933">
              <w:rPr>
                <w:sz w:val="22"/>
                <w:szCs w:val="22"/>
              </w:rPr>
              <w:t>ed to and retained by the PRU</w:t>
            </w:r>
            <w:r>
              <w:rPr>
                <w:sz w:val="22"/>
                <w:szCs w:val="22"/>
              </w:rPr>
              <w:t>.</w:t>
            </w:r>
          </w:p>
          <w:p w:rsidR="00020933" w:rsidRDefault="00020933" w:rsidP="00FE01F3">
            <w:pPr>
              <w:rPr>
                <w:sz w:val="22"/>
                <w:szCs w:val="22"/>
              </w:rPr>
            </w:pPr>
            <w:r w:rsidRPr="004308EC">
              <w:rPr>
                <w:sz w:val="22"/>
                <w:szCs w:val="22"/>
              </w:rPr>
              <w:t>The HNB’s funding of District PRU ceases at 31 August 2020.</w:t>
            </w:r>
          </w:p>
          <w:p w:rsidR="00995305" w:rsidRDefault="00995305" w:rsidP="00FE01F3">
            <w:pPr>
              <w:rPr>
                <w:sz w:val="22"/>
                <w:szCs w:val="22"/>
              </w:rPr>
            </w:pPr>
          </w:p>
        </w:tc>
        <w:tc>
          <w:tcPr>
            <w:tcW w:w="2410" w:type="dxa"/>
          </w:tcPr>
          <w:p w:rsidR="007426B7" w:rsidRDefault="007426B7" w:rsidP="00FE01F3">
            <w:pPr>
              <w:rPr>
                <w:sz w:val="22"/>
                <w:szCs w:val="22"/>
              </w:rPr>
            </w:pPr>
            <w:r>
              <w:rPr>
                <w:sz w:val="22"/>
                <w:szCs w:val="22"/>
              </w:rPr>
              <w:t>n/a</w:t>
            </w:r>
          </w:p>
        </w:tc>
        <w:tc>
          <w:tcPr>
            <w:tcW w:w="2126" w:type="dxa"/>
          </w:tcPr>
          <w:p w:rsidR="007426B7" w:rsidRDefault="007426B7" w:rsidP="00FE01F3">
            <w:pPr>
              <w:rPr>
                <w:sz w:val="22"/>
                <w:szCs w:val="22"/>
              </w:rPr>
            </w:pPr>
            <w:r>
              <w:rPr>
                <w:sz w:val="22"/>
                <w:szCs w:val="22"/>
              </w:rPr>
              <w:t>n/a</w:t>
            </w:r>
          </w:p>
        </w:tc>
        <w:tc>
          <w:tcPr>
            <w:tcW w:w="2126" w:type="dxa"/>
          </w:tcPr>
          <w:p w:rsidR="007426B7" w:rsidRDefault="00020933" w:rsidP="00FE01F3">
            <w:pPr>
              <w:rPr>
                <w:sz w:val="22"/>
                <w:szCs w:val="22"/>
              </w:rPr>
            </w:pPr>
            <w:r>
              <w:rPr>
                <w:sz w:val="22"/>
                <w:szCs w:val="22"/>
              </w:rPr>
              <w:t>No specific additional factors –setting-led need costs are</w:t>
            </w:r>
            <w:r w:rsidR="00995305">
              <w:rPr>
                <w:sz w:val="22"/>
                <w:szCs w:val="22"/>
              </w:rPr>
              <w:t xml:space="preserve"> to be</w:t>
            </w:r>
            <w:r>
              <w:rPr>
                <w:sz w:val="22"/>
                <w:szCs w:val="22"/>
              </w:rPr>
              <w:t xml:space="preserve"> covered</w:t>
            </w:r>
            <w:r w:rsidR="00995305">
              <w:rPr>
                <w:sz w:val="22"/>
                <w:szCs w:val="22"/>
              </w:rPr>
              <w:t xml:space="preserve"> within the calculation of the Day R</w:t>
            </w:r>
            <w:r>
              <w:rPr>
                <w:sz w:val="22"/>
                <w:szCs w:val="22"/>
              </w:rPr>
              <w:t>ate.</w:t>
            </w:r>
          </w:p>
        </w:tc>
        <w:tc>
          <w:tcPr>
            <w:tcW w:w="1985" w:type="dxa"/>
          </w:tcPr>
          <w:p w:rsidR="007426B7" w:rsidRDefault="007426B7" w:rsidP="00FE01F3">
            <w:pPr>
              <w:rPr>
                <w:sz w:val="22"/>
                <w:szCs w:val="22"/>
              </w:rPr>
            </w:pPr>
            <w:r>
              <w:rPr>
                <w:sz w:val="22"/>
                <w:szCs w:val="22"/>
              </w:rPr>
              <w:t>None.</w:t>
            </w:r>
          </w:p>
        </w:tc>
      </w:tr>
      <w:tr w:rsidR="007426B7" w:rsidTr="004D4AED">
        <w:tc>
          <w:tcPr>
            <w:tcW w:w="2376" w:type="dxa"/>
          </w:tcPr>
          <w:p w:rsidR="007426B7" w:rsidRPr="00271340" w:rsidRDefault="007426B7" w:rsidP="008D56E1">
            <w:pPr>
              <w:rPr>
                <w:b/>
                <w:sz w:val="22"/>
                <w:szCs w:val="22"/>
              </w:rPr>
            </w:pPr>
            <w:r w:rsidRPr="00271340">
              <w:rPr>
                <w:b/>
                <w:sz w:val="22"/>
                <w:szCs w:val="22"/>
              </w:rPr>
              <w:t>Hospital Education</w:t>
            </w:r>
            <w:r w:rsidR="002859AA" w:rsidRPr="00271340">
              <w:rPr>
                <w:b/>
                <w:sz w:val="22"/>
                <w:szCs w:val="22"/>
              </w:rPr>
              <w:t>, Tracks and Medical Home Tuition.</w:t>
            </w:r>
          </w:p>
          <w:p w:rsidR="002859AA" w:rsidRDefault="002859AA" w:rsidP="008D56E1">
            <w:pPr>
              <w:rPr>
                <w:sz w:val="22"/>
                <w:szCs w:val="22"/>
              </w:rPr>
            </w:pPr>
          </w:p>
          <w:p w:rsidR="002859AA" w:rsidRDefault="002859AA" w:rsidP="008D56E1">
            <w:pPr>
              <w:rPr>
                <w:i/>
                <w:sz w:val="22"/>
                <w:szCs w:val="22"/>
              </w:rPr>
            </w:pPr>
            <w:r>
              <w:rPr>
                <w:i/>
                <w:sz w:val="22"/>
                <w:szCs w:val="22"/>
              </w:rPr>
              <w:t xml:space="preserve">Note that the EinH provisions closed as separate PRUs on 31 August 2019. </w:t>
            </w:r>
            <w:r w:rsidR="00995305">
              <w:rPr>
                <w:i/>
                <w:sz w:val="22"/>
                <w:szCs w:val="22"/>
              </w:rPr>
              <w:t>Tracks is</w:t>
            </w:r>
            <w:r>
              <w:rPr>
                <w:i/>
                <w:sz w:val="22"/>
                <w:szCs w:val="22"/>
              </w:rPr>
              <w:t xml:space="preserve"> scheduled to close as a separate entity on 31 August 2020. Provision is continuing as a single Local-Authori</w:t>
            </w:r>
            <w:r w:rsidR="00995305">
              <w:rPr>
                <w:i/>
                <w:sz w:val="22"/>
                <w:szCs w:val="22"/>
              </w:rPr>
              <w:t>ty managed central service. A</w:t>
            </w:r>
            <w:r>
              <w:rPr>
                <w:i/>
                <w:sz w:val="22"/>
                <w:szCs w:val="22"/>
              </w:rPr>
              <w:t xml:space="preserve">malgamation will be completed at 1 September 2020. </w:t>
            </w:r>
          </w:p>
          <w:p w:rsidR="002859AA" w:rsidRPr="002859AA" w:rsidRDefault="002859AA" w:rsidP="008D56E1">
            <w:pPr>
              <w:rPr>
                <w:i/>
                <w:sz w:val="22"/>
                <w:szCs w:val="22"/>
              </w:rPr>
            </w:pPr>
          </w:p>
        </w:tc>
        <w:tc>
          <w:tcPr>
            <w:tcW w:w="2268" w:type="dxa"/>
          </w:tcPr>
          <w:p w:rsidR="007426B7" w:rsidRDefault="002859AA" w:rsidP="00AC7860">
            <w:pPr>
              <w:rPr>
                <w:sz w:val="22"/>
                <w:szCs w:val="22"/>
              </w:rPr>
            </w:pPr>
            <w:r w:rsidRPr="002859AA">
              <w:rPr>
                <w:sz w:val="22"/>
                <w:szCs w:val="22"/>
              </w:rPr>
              <w:t>The funding of the centrally managed</w:t>
            </w:r>
            <w:r w:rsidR="00995305">
              <w:rPr>
                <w:sz w:val="22"/>
                <w:szCs w:val="22"/>
              </w:rPr>
              <w:t xml:space="preserve"> service will operate outside</w:t>
            </w:r>
            <w:r w:rsidRPr="002859AA">
              <w:rPr>
                <w:sz w:val="22"/>
                <w:szCs w:val="22"/>
              </w:rPr>
              <w:t xml:space="preserve"> the Place-Plus mechanism, working within </w:t>
            </w:r>
            <w:r w:rsidR="00F952FE">
              <w:rPr>
                <w:sz w:val="22"/>
                <w:szCs w:val="22"/>
              </w:rPr>
              <w:t>the discrete allocation provided</w:t>
            </w:r>
            <w:r w:rsidRPr="002859AA">
              <w:rPr>
                <w:sz w:val="22"/>
                <w:szCs w:val="22"/>
              </w:rPr>
              <w:t xml:space="preserve"> for this service within our HNB</w:t>
            </w:r>
            <w:r>
              <w:rPr>
                <w:sz w:val="22"/>
                <w:szCs w:val="22"/>
              </w:rPr>
              <w:t>. This will be subject to annual review</w:t>
            </w:r>
            <w:r w:rsidR="00995305">
              <w:rPr>
                <w:sz w:val="22"/>
                <w:szCs w:val="22"/>
              </w:rPr>
              <w:t xml:space="preserve"> and any changes in our discrete allocation from the DfE</w:t>
            </w:r>
            <w:r>
              <w:rPr>
                <w:sz w:val="22"/>
                <w:szCs w:val="22"/>
              </w:rPr>
              <w:t>.</w:t>
            </w:r>
          </w:p>
          <w:p w:rsidR="002859AA" w:rsidRDefault="002859AA" w:rsidP="00AC7860">
            <w:pPr>
              <w:rPr>
                <w:sz w:val="22"/>
                <w:szCs w:val="22"/>
              </w:rPr>
            </w:pPr>
          </w:p>
          <w:p w:rsidR="002859AA" w:rsidRDefault="002859AA" w:rsidP="00AC7860">
            <w:pPr>
              <w:rPr>
                <w:sz w:val="22"/>
                <w:szCs w:val="22"/>
              </w:rPr>
            </w:pPr>
            <w:r>
              <w:rPr>
                <w:sz w:val="22"/>
                <w:szCs w:val="22"/>
              </w:rPr>
              <w:t>A transitional</w:t>
            </w:r>
            <w:r w:rsidR="00995305">
              <w:rPr>
                <w:sz w:val="22"/>
                <w:szCs w:val="22"/>
              </w:rPr>
              <w:t xml:space="preserve"> </w:t>
            </w:r>
            <w:r>
              <w:rPr>
                <w:sz w:val="22"/>
                <w:szCs w:val="22"/>
              </w:rPr>
              <w:t>fixed budget, based on its 2019/20 current place-plus derived allocation</w:t>
            </w:r>
            <w:r w:rsidR="00995305">
              <w:rPr>
                <w:sz w:val="22"/>
                <w:szCs w:val="22"/>
              </w:rPr>
              <w:t>,</w:t>
            </w:r>
            <w:r>
              <w:rPr>
                <w:sz w:val="22"/>
                <w:szCs w:val="22"/>
              </w:rPr>
              <w:t xml:space="preserve"> will be delegated to Tracks for the period up to 31 August 2020.</w:t>
            </w:r>
          </w:p>
          <w:p w:rsidR="002859AA" w:rsidRPr="002859AA" w:rsidRDefault="002859AA" w:rsidP="00AC7860">
            <w:pPr>
              <w:rPr>
                <w:sz w:val="22"/>
                <w:szCs w:val="22"/>
              </w:rPr>
            </w:pPr>
          </w:p>
        </w:tc>
        <w:tc>
          <w:tcPr>
            <w:tcW w:w="2410" w:type="dxa"/>
          </w:tcPr>
          <w:p w:rsidR="007426B7" w:rsidRPr="00673F1E" w:rsidRDefault="002859AA" w:rsidP="00AC7860">
            <w:pPr>
              <w:rPr>
                <w:sz w:val="22"/>
                <w:szCs w:val="22"/>
              </w:rPr>
            </w:pPr>
            <w:r w:rsidRPr="00673F1E">
              <w:rPr>
                <w:sz w:val="22"/>
                <w:szCs w:val="22"/>
              </w:rPr>
              <w:t>n/a</w:t>
            </w:r>
          </w:p>
        </w:tc>
        <w:tc>
          <w:tcPr>
            <w:tcW w:w="2410"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None.</w:t>
            </w:r>
          </w:p>
        </w:tc>
        <w:tc>
          <w:tcPr>
            <w:tcW w:w="1985" w:type="dxa"/>
          </w:tcPr>
          <w:p w:rsidR="007426B7" w:rsidRPr="00673F1E" w:rsidRDefault="007426B7" w:rsidP="00AC7860">
            <w:pPr>
              <w:rPr>
                <w:sz w:val="22"/>
                <w:szCs w:val="22"/>
              </w:rPr>
            </w:pPr>
            <w:r w:rsidRPr="00673F1E">
              <w:rPr>
                <w:sz w:val="22"/>
                <w:szCs w:val="22"/>
              </w:rPr>
              <w:t>None.</w:t>
            </w:r>
          </w:p>
        </w:tc>
      </w:tr>
      <w:tr w:rsidR="007426B7" w:rsidTr="004D4AED">
        <w:tc>
          <w:tcPr>
            <w:tcW w:w="2376" w:type="dxa"/>
          </w:tcPr>
          <w:p w:rsidR="007426B7" w:rsidRDefault="007426B7" w:rsidP="008D56E1">
            <w:pPr>
              <w:rPr>
                <w:sz w:val="22"/>
                <w:szCs w:val="22"/>
              </w:rPr>
            </w:pPr>
            <w:r w:rsidRPr="00271340">
              <w:rPr>
                <w:b/>
                <w:sz w:val="22"/>
                <w:szCs w:val="22"/>
              </w:rPr>
              <w:t>Further Education Institutions, special institutions and ILPs</w:t>
            </w:r>
            <w:r>
              <w:rPr>
                <w:sz w:val="22"/>
                <w:szCs w:val="22"/>
              </w:rPr>
              <w:t xml:space="preserve"> (post 16) </w:t>
            </w:r>
          </w:p>
        </w:tc>
        <w:tc>
          <w:tcPr>
            <w:tcW w:w="2268" w:type="dxa"/>
          </w:tcPr>
          <w:p w:rsidR="007426B7" w:rsidRDefault="007426B7" w:rsidP="00AC7860">
            <w:pPr>
              <w:rPr>
                <w:sz w:val="22"/>
                <w:szCs w:val="22"/>
              </w:rPr>
            </w:pPr>
            <w:r>
              <w:rPr>
                <w:sz w:val="22"/>
                <w:szCs w:val="22"/>
              </w:rPr>
              <w:t>n/a</w:t>
            </w:r>
          </w:p>
          <w:p w:rsidR="007426B7" w:rsidRDefault="007426B7" w:rsidP="00AC7860">
            <w:pPr>
              <w:rPr>
                <w:sz w:val="22"/>
                <w:szCs w:val="22"/>
              </w:rPr>
            </w:pPr>
          </w:p>
          <w:p w:rsidR="007426B7" w:rsidRDefault="007426B7" w:rsidP="00AC7860">
            <w:pPr>
              <w:rPr>
                <w:sz w:val="22"/>
                <w:szCs w:val="22"/>
              </w:rPr>
            </w:pPr>
          </w:p>
        </w:tc>
        <w:tc>
          <w:tcPr>
            <w:tcW w:w="2410" w:type="dxa"/>
          </w:tcPr>
          <w:p w:rsidR="007426B7" w:rsidRDefault="007426B7" w:rsidP="00AC7860">
            <w:pPr>
              <w:rPr>
                <w:sz w:val="22"/>
                <w:szCs w:val="22"/>
              </w:rPr>
            </w:pPr>
            <w:r>
              <w:rPr>
                <w:sz w:val="22"/>
                <w:szCs w:val="22"/>
              </w:rPr>
              <w:t>n/a</w:t>
            </w:r>
          </w:p>
        </w:tc>
        <w:tc>
          <w:tcPr>
            <w:tcW w:w="2410" w:type="dxa"/>
          </w:tcPr>
          <w:p w:rsidR="007426B7" w:rsidRDefault="007426B7" w:rsidP="00AC7860">
            <w:pPr>
              <w:rPr>
                <w:sz w:val="22"/>
                <w:szCs w:val="22"/>
              </w:rPr>
            </w:pPr>
            <w:r>
              <w:rPr>
                <w:sz w:val="22"/>
                <w:szCs w:val="22"/>
              </w:rPr>
              <w:t>Element 1 (based on the 16-19 national funding formula) plus Element 2 (£6,000) based on the number of places to be funded.</w:t>
            </w:r>
          </w:p>
          <w:p w:rsidR="007426B7" w:rsidRDefault="007426B7" w:rsidP="00AC7860">
            <w:pPr>
              <w:rPr>
                <w:sz w:val="22"/>
                <w:szCs w:val="22"/>
              </w:rPr>
            </w:pPr>
          </w:p>
          <w:p w:rsidR="007426B7" w:rsidRDefault="007426B7" w:rsidP="00B779AD">
            <w:pPr>
              <w:rPr>
                <w:sz w:val="22"/>
                <w:szCs w:val="22"/>
              </w:rPr>
            </w:pPr>
            <w:r>
              <w:rPr>
                <w:sz w:val="22"/>
                <w:szCs w:val="22"/>
              </w:rPr>
              <w:t xml:space="preserve">Additional place-funding (element 2 only) can be allocated </w:t>
            </w:r>
            <w:r w:rsidR="00995305">
              <w:rPr>
                <w:sz w:val="22"/>
                <w:szCs w:val="22"/>
              </w:rPr>
              <w:t xml:space="preserve">in year </w:t>
            </w:r>
            <w:r>
              <w:rPr>
                <w:sz w:val="22"/>
                <w:szCs w:val="22"/>
              </w:rPr>
              <w:t>where occupancy exceeds</w:t>
            </w:r>
            <w:r w:rsidR="00995305">
              <w:rPr>
                <w:sz w:val="22"/>
                <w:szCs w:val="22"/>
              </w:rPr>
              <w:t xml:space="preserve"> agreed places,</w:t>
            </w:r>
            <w:r>
              <w:rPr>
                <w:sz w:val="22"/>
                <w:szCs w:val="22"/>
              </w:rPr>
              <w:t xml:space="preserve"> with an end of year reconciliation</w:t>
            </w:r>
            <w:r w:rsidR="00995305">
              <w:rPr>
                <w:sz w:val="22"/>
                <w:szCs w:val="22"/>
              </w:rPr>
              <w:t xml:space="preserve"> to ensure no overall overpayment</w:t>
            </w:r>
            <w:r>
              <w:rPr>
                <w:sz w:val="22"/>
                <w:szCs w:val="22"/>
              </w:rPr>
              <w:t>.</w:t>
            </w:r>
          </w:p>
          <w:p w:rsidR="007426B7" w:rsidRDefault="007426B7" w:rsidP="00AC7860">
            <w:pPr>
              <w:rPr>
                <w:sz w:val="22"/>
                <w:szCs w:val="22"/>
              </w:rPr>
            </w:pPr>
          </w:p>
          <w:p w:rsidR="00271340" w:rsidRDefault="00271340" w:rsidP="00271340">
            <w:pPr>
              <w:rPr>
                <w:sz w:val="22"/>
                <w:szCs w:val="22"/>
              </w:rPr>
            </w:pPr>
            <w:r>
              <w:rPr>
                <w:sz w:val="22"/>
                <w:szCs w:val="22"/>
              </w:rPr>
              <w:t>Both Elements 1 and 2 are retained by the institution.</w:t>
            </w:r>
          </w:p>
          <w:p w:rsidR="00271340" w:rsidRDefault="00271340" w:rsidP="00AC7860">
            <w:pPr>
              <w:rPr>
                <w:sz w:val="22"/>
                <w:szCs w:val="22"/>
              </w:rPr>
            </w:pPr>
          </w:p>
        </w:tc>
        <w:tc>
          <w:tcPr>
            <w:tcW w:w="2126" w:type="dxa"/>
          </w:tcPr>
          <w:p w:rsidR="007426B7" w:rsidRDefault="007426B7" w:rsidP="00B779AD">
            <w:pPr>
              <w:rPr>
                <w:sz w:val="22"/>
                <w:szCs w:val="22"/>
              </w:rPr>
            </w:pPr>
            <w:r>
              <w:rPr>
                <w:sz w:val="22"/>
                <w:szCs w:val="22"/>
              </w:rPr>
              <w:t>Agreed per-pupil top up paid by the commissioning local authority.</w:t>
            </w:r>
          </w:p>
          <w:p w:rsidR="007426B7" w:rsidRDefault="007426B7" w:rsidP="00B779AD">
            <w:pPr>
              <w:rPr>
                <w:sz w:val="22"/>
                <w:szCs w:val="22"/>
              </w:rPr>
            </w:pPr>
          </w:p>
          <w:p w:rsidR="007426B7" w:rsidRDefault="007426B7" w:rsidP="00B779AD">
            <w:pPr>
              <w:rPr>
                <w:sz w:val="22"/>
                <w:szCs w:val="22"/>
              </w:rPr>
            </w:pPr>
            <w:r>
              <w:rPr>
                <w:sz w:val="22"/>
                <w:szCs w:val="22"/>
              </w:rPr>
              <w:t>Allocated in ‘real time’ during the year. Changes for starters and leavers.</w:t>
            </w:r>
          </w:p>
          <w:p w:rsidR="007426B7" w:rsidRDefault="007426B7" w:rsidP="00B779AD">
            <w:pPr>
              <w:rPr>
                <w:sz w:val="22"/>
                <w:szCs w:val="22"/>
              </w:rPr>
            </w:pPr>
          </w:p>
          <w:p w:rsidR="00271340" w:rsidRDefault="00271340" w:rsidP="00271340">
            <w:pPr>
              <w:rPr>
                <w:sz w:val="22"/>
                <w:szCs w:val="22"/>
              </w:rPr>
            </w:pPr>
            <w:r>
              <w:rPr>
                <w:sz w:val="22"/>
                <w:szCs w:val="22"/>
              </w:rPr>
              <w:t>Bradford currently uses a Ranges Model (see appendix 2). Typically values are funded at 60% for most placements.</w:t>
            </w:r>
            <w:r w:rsidR="00995305">
              <w:rPr>
                <w:sz w:val="22"/>
                <w:szCs w:val="22"/>
              </w:rPr>
              <w:t xml:space="preserve"> Higher cost placements (low incidence high need) are typically funded on an actual cost basis.</w:t>
            </w:r>
          </w:p>
          <w:p w:rsidR="00271340" w:rsidRDefault="00271340" w:rsidP="00271340">
            <w:pPr>
              <w:rPr>
                <w:sz w:val="22"/>
                <w:szCs w:val="22"/>
              </w:rPr>
            </w:pPr>
          </w:p>
          <w:p w:rsidR="007426B7" w:rsidRDefault="00271340" w:rsidP="00271340">
            <w:pPr>
              <w:rPr>
                <w:sz w:val="22"/>
                <w:szCs w:val="22"/>
              </w:rPr>
            </w:pPr>
            <w:r>
              <w:rPr>
                <w:sz w:val="22"/>
                <w:szCs w:val="22"/>
              </w:rPr>
              <w:t>Proposed to move to a new Banded Model at April 2020 (see appendix 3)</w:t>
            </w:r>
            <w:r w:rsidR="00995305">
              <w:rPr>
                <w:sz w:val="22"/>
                <w:szCs w:val="22"/>
              </w:rPr>
              <w:t xml:space="preserve"> operating on the same </w:t>
            </w:r>
            <w:r>
              <w:rPr>
                <w:sz w:val="22"/>
                <w:szCs w:val="22"/>
              </w:rPr>
              <w:t>principle</w:t>
            </w:r>
            <w:r w:rsidR="00995305">
              <w:rPr>
                <w:sz w:val="22"/>
                <w:szCs w:val="22"/>
              </w:rPr>
              <w:t>s as now</w:t>
            </w:r>
            <w:r>
              <w:rPr>
                <w:sz w:val="22"/>
                <w:szCs w:val="22"/>
              </w:rPr>
              <w:t>.</w:t>
            </w:r>
          </w:p>
          <w:p w:rsidR="00271340" w:rsidRDefault="00271340" w:rsidP="00271340">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426B7" w:rsidP="00AC7860">
            <w:pPr>
              <w:rPr>
                <w:sz w:val="22"/>
                <w:szCs w:val="22"/>
              </w:rPr>
            </w:pPr>
            <w:r>
              <w:rPr>
                <w:sz w:val="22"/>
                <w:szCs w:val="22"/>
              </w:rPr>
              <w:t>None.</w:t>
            </w:r>
          </w:p>
        </w:tc>
      </w:tr>
      <w:tr w:rsidR="007426B7" w:rsidTr="004D4AED">
        <w:tc>
          <w:tcPr>
            <w:tcW w:w="2376" w:type="dxa"/>
          </w:tcPr>
          <w:p w:rsidR="007426B7" w:rsidRPr="00271340" w:rsidRDefault="007426B7" w:rsidP="008D56E1">
            <w:pPr>
              <w:rPr>
                <w:b/>
                <w:sz w:val="22"/>
                <w:szCs w:val="22"/>
              </w:rPr>
            </w:pPr>
            <w:r w:rsidRPr="00271340">
              <w:rPr>
                <w:b/>
                <w:sz w:val="22"/>
                <w:szCs w:val="22"/>
              </w:rPr>
              <w:t>Independent Schools</w:t>
            </w:r>
          </w:p>
        </w:tc>
        <w:tc>
          <w:tcPr>
            <w:tcW w:w="2268" w:type="dxa"/>
          </w:tcPr>
          <w:p w:rsidR="007426B7" w:rsidRDefault="007426B7" w:rsidP="00AC7860">
            <w:pPr>
              <w:rPr>
                <w:sz w:val="22"/>
                <w:szCs w:val="22"/>
              </w:rPr>
            </w:pPr>
            <w:r>
              <w:rPr>
                <w:sz w:val="22"/>
                <w:szCs w:val="22"/>
              </w:rPr>
              <w:t>The place funding system doesn’t operate in independent schools.</w:t>
            </w:r>
          </w:p>
          <w:p w:rsidR="007426B7" w:rsidRDefault="007426B7" w:rsidP="00AC7860">
            <w:pPr>
              <w:rPr>
                <w:sz w:val="22"/>
                <w:szCs w:val="22"/>
              </w:rPr>
            </w:pPr>
          </w:p>
        </w:tc>
        <w:tc>
          <w:tcPr>
            <w:tcW w:w="2410" w:type="dxa"/>
          </w:tcPr>
          <w:p w:rsidR="007426B7" w:rsidRDefault="007426B7" w:rsidP="00DB57B8">
            <w:pPr>
              <w:rPr>
                <w:sz w:val="22"/>
                <w:szCs w:val="22"/>
              </w:rPr>
            </w:pPr>
            <w:r>
              <w:rPr>
                <w:sz w:val="22"/>
                <w:szCs w:val="22"/>
              </w:rPr>
              <w:t>Agreed per-pupil top up paid by the commissioning local authority.</w:t>
            </w:r>
          </w:p>
          <w:p w:rsidR="007426B7" w:rsidRDefault="007426B7" w:rsidP="00AC7860">
            <w:pPr>
              <w:rPr>
                <w:sz w:val="22"/>
                <w:szCs w:val="22"/>
              </w:rPr>
            </w:pPr>
          </w:p>
        </w:tc>
        <w:tc>
          <w:tcPr>
            <w:tcW w:w="2410" w:type="dxa"/>
          </w:tcPr>
          <w:p w:rsidR="007426B7" w:rsidRDefault="007426B7" w:rsidP="00FE01F3">
            <w:pPr>
              <w:rPr>
                <w:sz w:val="22"/>
                <w:szCs w:val="22"/>
              </w:rPr>
            </w:pPr>
            <w:r>
              <w:rPr>
                <w:sz w:val="22"/>
                <w:szCs w:val="22"/>
              </w:rPr>
              <w:t>The place funding system doesn’t operate in independent schools.</w:t>
            </w:r>
          </w:p>
          <w:p w:rsidR="007426B7" w:rsidRDefault="007426B7" w:rsidP="00FE01F3">
            <w:pPr>
              <w:rPr>
                <w:sz w:val="22"/>
                <w:szCs w:val="22"/>
              </w:rPr>
            </w:pPr>
          </w:p>
        </w:tc>
        <w:tc>
          <w:tcPr>
            <w:tcW w:w="2126" w:type="dxa"/>
          </w:tcPr>
          <w:p w:rsidR="007426B7" w:rsidRDefault="007426B7" w:rsidP="00FE01F3">
            <w:pPr>
              <w:rPr>
                <w:sz w:val="22"/>
                <w:szCs w:val="22"/>
              </w:rPr>
            </w:pPr>
            <w:r>
              <w:rPr>
                <w:sz w:val="22"/>
                <w:szCs w:val="22"/>
              </w:rPr>
              <w:t>Agreed per-pupil top up paid by the commissioning local authority.</w:t>
            </w:r>
          </w:p>
          <w:p w:rsidR="007426B7" w:rsidRDefault="007426B7" w:rsidP="00FE01F3">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426B7" w:rsidP="00AC7860">
            <w:pPr>
              <w:rPr>
                <w:sz w:val="22"/>
                <w:szCs w:val="22"/>
              </w:rPr>
            </w:pPr>
            <w:r>
              <w:rPr>
                <w:sz w:val="22"/>
                <w:szCs w:val="22"/>
              </w:rPr>
              <w:t>None.</w:t>
            </w:r>
          </w:p>
        </w:tc>
      </w:tr>
    </w:tbl>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D9166A" w:rsidRDefault="00D9166A"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p w:rsidR="00517A8F" w:rsidRDefault="00517A8F" w:rsidP="001B416B">
      <w:pPr>
        <w:jc w:val="both"/>
        <w:rPr>
          <w:sz w:val="22"/>
          <w:szCs w:val="22"/>
        </w:rPr>
      </w:pPr>
    </w:p>
    <w:tbl>
      <w:tblPr>
        <w:tblW w:w="14584" w:type="dxa"/>
        <w:tblInd w:w="93" w:type="dxa"/>
        <w:tblLook w:val="0000" w:firstRow="0" w:lastRow="0" w:firstColumn="0" w:lastColumn="0" w:noHBand="0" w:noVBand="0"/>
      </w:tblPr>
      <w:tblGrid>
        <w:gridCol w:w="2620"/>
        <w:gridCol w:w="960"/>
        <w:gridCol w:w="960"/>
        <w:gridCol w:w="960"/>
        <w:gridCol w:w="1660"/>
        <w:gridCol w:w="1380"/>
        <w:gridCol w:w="1700"/>
        <w:gridCol w:w="1240"/>
        <w:gridCol w:w="1020"/>
        <w:gridCol w:w="960"/>
        <w:gridCol w:w="1310"/>
      </w:tblGrid>
      <w:tr w:rsidR="00995305" w:rsidRPr="006348B4" w:rsidTr="002F0BEC">
        <w:trPr>
          <w:trHeight w:val="31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6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38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70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rPr>
                <w:rFonts w:cs="Arial"/>
                <w:b/>
                <w:bCs/>
                <w:sz w:val="24"/>
                <w:szCs w:val="24"/>
              </w:rPr>
            </w:pPr>
            <w:r w:rsidRPr="006348B4">
              <w:rPr>
                <w:rFonts w:cs="Arial"/>
                <w:b/>
                <w:bCs/>
                <w:sz w:val="24"/>
                <w:szCs w:val="24"/>
              </w:rPr>
              <w:t xml:space="preserve">Appendix </w:t>
            </w:r>
            <w:r>
              <w:rPr>
                <w:rFonts w:cs="Arial"/>
                <w:b/>
                <w:bCs/>
                <w:sz w:val="24"/>
                <w:szCs w:val="24"/>
              </w:rPr>
              <w:t>2</w:t>
            </w: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6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38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70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r>
      <w:tr w:rsidR="00995305" w:rsidRPr="006348B4" w:rsidTr="002F0BEC">
        <w:trPr>
          <w:trHeight w:val="300"/>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b/>
                <w:bCs/>
              </w:rPr>
            </w:pPr>
          </w:p>
        </w:tc>
        <w:tc>
          <w:tcPr>
            <w:tcW w:w="11964" w:type="dxa"/>
            <w:gridSpan w:val="10"/>
            <w:tcBorders>
              <w:top w:val="nil"/>
              <w:left w:val="nil"/>
              <w:bottom w:val="nil"/>
              <w:right w:val="nil"/>
            </w:tcBorders>
            <w:shd w:val="clear" w:color="auto" w:fill="auto"/>
            <w:noWrap/>
            <w:vAlign w:val="bottom"/>
          </w:tcPr>
          <w:p w:rsidR="00995305" w:rsidRPr="006348B4" w:rsidRDefault="001C7379" w:rsidP="002F0BEC">
            <w:pPr>
              <w:jc w:val="center"/>
              <w:rPr>
                <w:rFonts w:cs="Arial"/>
                <w:b/>
                <w:bCs/>
                <w:sz w:val="22"/>
                <w:szCs w:val="22"/>
              </w:rPr>
            </w:pPr>
            <w:r>
              <w:rPr>
                <w:rFonts w:cs="Arial"/>
                <w:b/>
                <w:bCs/>
                <w:sz w:val="22"/>
                <w:szCs w:val="22"/>
              </w:rPr>
              <w:t xml:space="preserve">CURRENT RANGES MODEL - </w:t>
            </w:r>
            <w:r w:rsidR="00995305">
              <w:rPr>
                <w:rFonts w:cs="Arial"/>
                <w:b/>
                <w:bCs/>
                <w:sz w:val="22"/>
                <w:szCs w:val="22"/>
              </w:rPr>
              <w:t xml:space="preserve">HIGH NEEDS PROVISION: </w:t>
            </w:r>
            <w:r w:rsidR="00995305" w:rsidRPr="006348B4">
              <w:rPr>
                <w:rFonts w:cs="Arial"/>
                <w:b/>
                <w:bCs/>
                <w:sz w:val="22"/>
                <w:szCs w:val="22"/>
              </w:rPr>
              <w:t xml:space="preserve">FUNDING </w:t>
            </w:r>
            <w:r w:rsidR="00995305">
              <w:rPr>
                <w:rFonts w:cs="Arial"/>
                <w:b/>
                <w:bCs/>
                <w:sz w:val="22"/>
                <w:szCs w:val="22"/>
              </w:rPr>
              <w:t xml:space="preserve">CATEGORIES, BANDS &amp; AMOUNTS PUPIL-LED NEED 2019/20 </w:t>
            </w:r>
          </w:p>
        </w:tc>
      </w:tr>
      <w:tr w:rsidR="00995305" w:rsidRPr="006348B4" w:rsidTr="002F0BEC">
        <w:trPr>
          <w:trHeight w:val="31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b/>
                <w:bCs/>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66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38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70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b/>
                <w:bCs/>
                <w:sz w:val="22"/>
                <w:szCs w:val="22"/>
              </w:rPr>
            </w:pP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3</w:t>
            </w:r>
          </w:p>
        </w:tc>
        <w:tc>
          <w:tcPr>
            <w:tcW w:w="5980" w:type="dxa"/>
            <w:gridSpan w:val="4"/>
            <w:tcBorders>
              <w:top w:val="single" w:sz="8" w:space="0" w:color="auto"/>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4</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5</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6</w:t>
            </w:r>
          </w:p>
        </w:tc>
        <w:tc>
          <w:tcPr>
            <w:tcW w:w="1124" w:type="dxa"/>
            <w:tcBorders>
              <w:top w:val="single" w:sz="8" w:space="0" w:color="auto"/>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Range 7</w:t>
            </w:r>
          </w:p>
        </w:tc>
      </w:tr>
      <w:tr w:rsidR="00995305" w:rsidRPr="006348B4" w:rsidTr="002F0BEC">
        <w:trPr>
          <w:trHeight w:val="58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r w:rsidRPr="006348B4">
              <w:rPr>
                <w:rFonts w:cs="Arial"/>
              </w:rPr>
              <w:t>PRIMARY NEED</w:t>
            </w:r>
          </w:p>
        </w:tc>
        <w:tc>
          <w:tcPr>
            <w:tcW w:w="2880" w:type="dxa"/>
            <w:gridSpan w:val="3"/>
            <w:tcBorders>
              <w:top w:val="single" w:sz="4" w:space="0" w:color="auto"/>
              <w:left w:val="single" w:sz="8" w:space="0" w:color="auto"/>
              <w:bottom w:val="single" w:sz="4" w:space="0" w:color="auto"/>
              <w:right w:val="single" w:sz="4" w:space="0" w:color="000000"/>
            </w:tcBorders>
            <w:shd w:val="clear" w:color="auto" w:fill="C0C0C0"/>
            <w:noWrap/>
            <w:vAlign w:val="bottom"/>
          </w:tcPr>
          <w:p w:rsidR="00995305" w:rsidRPr="006348B4" w:rsidRDefault="00995305" w:rsidP="002F0BEC">
            <w:pPr>
              <w:jc w:val="center"/>
              <w:rPr>
                <w:rFonts w:cs="Arial"/>
              </w:rPr>
            </w:pPr>
            <w:r w:rsidRPr="006348B4">
              <w:rPr>
                <w:rFonts w:cs="Arial"/>
              </w:rPr>
              <w:t>Delegated Place Funding</w:t>
            </w:r>
          </w:p>
        </w:tc>
        <w:tc>
          <w:tcPr>
            <w:tcW w:w="1660" w:type="dxa"/>
            <w:tcBorders>
              <w:top w:val="nil"/>
              <w:left w:val="nil"/>
              <w:bottom w:val="single" w:sz="4" w:space="0" w:color="auto"/>
              <w:right w:val="single" w:sz="4" w:space="0" w:color="auto"/>
            </w:tcBorders>
            <w:shd w:val="clear" w:color="auto" w:fill="auto"/>
            <w:vAlign w:val="bottom"/>
          </w:tcPr>
          <w:p w:rsidR="00995305" w:rsidRPr="006348B4" w:rsidRDefault="00995305" w:rsidP="002F0BEC">
            <w:pPr>
              <w:jc w:val="center"/>
              <w:rPr>
                <w:rFonts w:cs="Arial"/>
              </w:rPr>
            </w:pPr>
            <w:r w:rsidRPr="006348B4">
              <w:rPr>
                <w:rFonts w:cs="Arial"/>
              </w:rPr>
              <w:t>Band A              (16.5-21.5 hours)</w:t>
            </w:r>
          </w:p>
        </w:tc>
        <w:tc>
          <w:tcPr>
            <w:tcW w:w="1380" w:type="dxa"/>
            <w:tcBorders>
              <w:top w:val="nil"/>
              <w:left w:val="nil"/>
              <w:bottom w:val="single" w:sz="4" w:space="0" w:color="auto"/>
              <w:right w:val="single" w:sz="4" w:space="0" w:color="auto"/>
            </w:tcBorders>
            <w:shd w:val="clear" w:color="auto" w:fill="auto"/>
            <w:vAlign w:val="bottom"/>
          </w:tcPr>
          <w:p w:rsidR="00995305" w:rsidRPr="006348B4" w:rsidRDefault="00995305" w:rsidP="002F0BEC">
            <w:pPr>
              <w:jc w:val="center"/>
              <w:rPr>
                <w:rFonts w:cs="Arial"/>
              </w:rPr>
            </w:pPr>
            <w:r w:rsidRPr="006348B4">
              <w:rPr>
                <w:rFonts w:cs="Arial"/>
              </w:rPr>
              <w:t>Band B                      (22-27 hours)</w:t>
            </w:r>
          </w:p>
        </w:tc>
        <w:tc>
          <w:tcPr>
            <w:tcW w:w="1700" w:type="dxa"/>
            <w:tcBorders>
              <w:top w:val="nil"/>
              <w:left w:val="nil"/>
              <w:bottom w:val="single" w:sz="4" w:space="0" w:color="auto"/>
              <w:right w:val="single" w:sz="4" w:space="0" w:color="auto"/>
            </w:tcBorders>
            <w:shd w:val="clear" w:color="auto" w:fill="auto"/>
            <w:vAlign w:val="bottom"/>
          </w:tcPr>
          <w:p w:rsidR="00995305" w:rsidRPr="006348B4" w:rsidRDefault="00995305" w:rsidP="002F0BEC">
            <w:pPr>
              <w:jc w:val="center"/>
              <w:rPr>
                <w:rFonts w:cs="Arial"/>
              </w:rPr>
            </w:pPr>
            <w:r w:rsidRPr="006348B4">
              <w:rPr>
                <w:rFonts w:cs="Arial"/>
              </w:rPr>
              <w:t>Band C                   (27.5-34.5 hours)</w:t>
            </w:r>
          </w:p>
        </w:tc>
        <w:tc>
          <w:tcPr>
            <w:tcW w:w="1240" w:type="dxa"/>
            <w:tcBorders>
              <w:top w:val="nil"/>
              <w:left w:val="nil"/>
              <w:bottom w:val="single" w:sz="4" w:space="0" w:color="auto"/>
              <w:right w:val="single" w:sz="4" w:space="0" w:color="auto"/>
            </w:tcBorders>
            <w:shd w:val="clear" w:color="auto" w:fill="auto"/>
            <w:vAlign w:val="bottom"/>
          </w:tcPr>
          <w:p w:rsidR="00995305" w:rsidRPr="006348B4" w:rsidRDefault="00995305" w:rsidP="002F0BEC">
            <w:pPr>
              <w:jc w:val="center"/>
              <w:rPr>
                <w:rFonts w:cs="Arial"/>
              </w:rPr>
            </w:pPr>
            <w:r w:rsidRPr="006348B4">
              <w:rPr>
                <w:rFonts w:cs="Arial"/>
              </w:rPr>
              <w:t>Band D        (35+ hours)</w:t>
            </w:r>
          </w:p>
        </w:tc>
        <w:tc>
          <w:tcPr>
            <w:tcW w:w="1020" w:type="dxa"/>
            <w:tcBorders>
              <w:top w:val="nil"/>
              <w:left w:val="nil"/>
              <w:bottom w:val="single" w:sz="4" w:space="0" w:color="auto"/>
              <w:right w:val="single" w:sz="4" w:space="0" w:color="auto"/>
            </w:tcBorders>
            <w:shd w:val="clear" w:color="auto" w:fill="auto"/>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b/>
                <w:bCs/>
              </w:rPr>
            </w:pPr>
            <w:r w:rsidRPr="006348B4">
              <w:rPr>
                <w:rFonts w:cs="Arial"/>
                <w:b/>
                <w:bCs/>
              </w:rPr>
              <w:t>Additional "Plus" Funding</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b/>
                <w:bCs/>
              </w:rPr>
            </w:pPr>
            <w:r w:rsidRPr="006348B4">
              <w:rPr>
                <w:rFonts w:cs="Arial"/>
                <w:b/>
                <w:bCs/>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£0</w:t>
            </w:r>
          </w:p>
        </w:tc>
        <w:tc>
          <w:tcPr>
            <w:tcW w:w="16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w:t>
            </w:r>
            <w:r>
              <w:rPr>
                <w:rFonts w:cs="Arial"/>
                <w:b/>
                <w:bCs/>
              </w:rPr>
              <w:t>952</w:t>
            </w:r>
          </w:p>
        </w:tc>
        <w:tc>
          <w:tcPr>
            <w:tcW w:w="138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£3,</w:t>
            </w:r>
            <w:r>
              <w:rPr>
                <w:rFonts w:cs="Arial"/>
                <w:b/>
                <w:bCs/>
              </w:rPr>
              <w:t>000</w:t>
            </w:r>
          </w:p>
        </w:tc>
        <w:tc>
          <w:tcPr>
            <w:tcW w:w="170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£4,</w:t>
            </w:r>
            <w:r>
              <w:rPr>
                <w:rFonts w:cs="Arial"/>
                <w:b/>
                <w:bCs/>
              </w:rPr>
              <w:t>597</w:t>
            </w:r>
          </w:p>
        </w:tc>
        <w:tc>
          <w:tcPr>
            <w:tcW w:w="124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£7,</w:t>
            </w:r>
            <w:r>
              <w:rPr>
                <w:rFonts w:cs="Arial"/>
                <w:b/>
                <w:bCs/>
              </w:rPr>
              <w:t>161</w:t>
            </w:r>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£10</w:t>
            </w:r>
            <w:r>
              <w:rPr>
                <w:rFonts w:cs="Arial"/>
                <w:b/>
                <w:bCs/>
              </w:rPr>
              <w:t>,440</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£1</w:t>
            </w:r>
            <w:r>
              <w:rPr>
                <w:rFonts w:cs="Arial"/>
                <w:b/>
                <w:bCs/>
              </w:rPr>
              <w:t>3,910</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b/>
                <w:bCs/>
              </w:rPr>
            </w:pPr>
            <w:r w:rsidRPr="006348B4">
              <w:rPr>
                <w:rFonts w:cs="Arial"/>
                <w:b/>
                <w:bCs/>
              </w:rPr>
              <w:t>£2</w:t>
            </w:r>
            <w:r>
              <w:rPr>
                <w:rFonts w:cs="Arial"/>
                <w:b/>
                <w:bCs/>
              </w:rPr>
              <w:t>2,857</w:t>
            </w: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r>
      <w:tr w:rsidR="00995305" w:rsidRPr="006348B4" w:rsidTr="002F0BEC">
        <w:trPr>
          <w:trHeight w:val="255"/>
        </w:trPr>
        <w:tc>
          <w:tcPr>
            <w:tcW w:w="2620" w:type="dxa"/>
            <w:tcBorders>
              <w:top w:val="nil"/>
              <w:left w:val="nil"/>
              <w:bottom w:val="nil"/>
              <w:right w:val="nil"/>
            </w:tcBorders>
            <w:shd w:val="clear" w:color="auto" w:fill="FFCC99"/>
            <w:noWrap/>
            <w:vAlign w:val="bottom"/>
          </w:tcPr>
          <w:p w:rsidR="00995305" w:rsidRPr="006348B4" w:rsidRDefault="00995305" w:rsidP="002F0BEC">
            <w:pPr>
              <w:rPr>
                <w:rFonts w:cs="Arial"/>
              </w:rPr>
            </w:pPr>
            <w:r w:rsidRPr="006348B4">
              <w:rPr>
                <w:rFonts w:cs="Arial"/>
              </w:rPr>
              <w:t>Mainstream Autism &amp; SLCN</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FFCC99"/>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CC99"/>
            <w:noWrap/>
            <w:vAlign w:val="bottom"/>
          </w:tcPr>
          <w:p w:rsidR="00995305" w:rsidRPr="006348B4" w:rsidRDefault="00995305" w:rsidP="002F0BEC">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FFCC99"/>
            <w:noWrap/>
            <w:vAlign w:val="bottom"/>
          </w:tcPr>
          <w:p w:rsidR="00995305" w:rsidRPr="006348B4" w:rsidRDefault="00995305" w:rsidP="002F0BEC">
            <w:pPr>
              <w:jc w:val="center"/>
              <w:rPr>
                <w:rFonts w:cs="Arial"/>
              </w:rPr>
            </w:pPr>
            <w:r w:rsidRPr="006348B4">
              <w:rPr>
                <w:rFonts w:cs="Arial"/>
              </w:rPr>
              <w:t>SLCN</w:t>
            </w:r>
          </w:p>
        </w:tc>
        <w:tc>
          <w:tcPr>
            <w:tcW w:w="1240" w:type="dxa"/>
            <w:tcBorders>
              <w:top w:val="nil"/>
              <w:left w:val="nil"/>
              <w:bottom w:val="single" w:sz="4" w:space="0" w:color="auto"/>
              <w:right w:val="single" w:sz="4" w:space="0" w:color="auto"/>
            </w:tcBorders>
            <w:shd w:val="clear" w:color="auto" w:fill="FFCC99"/>
            <w:noWrap/>
            <w:vAlign w:val="bottom"/>
          </w:tcPr>
          <w:p w:rsidR="00995305" w:rsidRPr="006348B4" w:rsidRDefault="00995305" w:rsidP="002F0BEC">
            <w:pPr>
              <w:jc w:val="center"/>
              <w:rPr>
                <w:rFonts w:cs="Arial"/>
              </w:rPr>
            </w:pPr>
            <w:smartTag w:uri="urn:schemas-microsoft-com:office:smarttags" w:element="stockticker">
              <w:r w:rsidRPr="006348B4">
                <w:rPr>
                  <w:rFonts w:cs="Arial"/>
                </w:rPr>
                <w:t>ASD</w:t>
              </w:r>
            </w:smartTag>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smartTag w:uri="urn:schemas-microsoft-com:office:smarttags" w:element="stockticker">
              <w:r w:rsidRPr="006348B4">
                <w:rPr>
                  <w:rFonts w:cs="Arial"/>
                </w:rPr>
                <w:t>ASD</w:t>
              </w:r>
            </w:smartTag>
            <w:r w:rsidRPr="006348B4">
              <w:rPr>
                <w:rFonts w:cs="Arial"/>
              </w:rPr>
              <w:t>+</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smartTag w:uri="urn:schemas-microsoft-com:office:smarttags" w:element="stockticker">
              <w:r w:rsidRPr="006348B4">
                <w:rPr>
                  <w:rFonts w:cs="Arial"/>
                </w:rPr>
                <w:t>ASD</w:t>
              </w:r>
            </w:smartTag>
            <w:r w:rsidRPr="006348B4">
              <w:rPr>
                <w:rFonts w:cs="Arial"/>
              </w:rPr>
              <w:t>++</w:t>
            </w:r>
          </w:p>
        </w:tc>
      </w:tr>
      <w:tr w:rsidR="00995305" w:rsidRPr="006348B4" w:rsidTr="002F0BEC">
        <w:trPr>
          <w:trHeight w:val="255"/>
        </w:trPr>
        <w:tc>
          <w:tcPr>
            <w:tcW w:w="2620" w:type="dxa"/>
            <w:tcBorders>
              <w:top w:val="nil"/>
              <w:left w:val="nil"/>
              <w:bottom w:val="nil"/>
              <w:right w:val="nil"/>
            </w:tcBorders>
            <w:shd w:val="clear" w:color="auto" w:fill="FFFF99"/>
            <w:noWrap/>
            <w:vAlign w:val="bottom"/>
          </w:tcPr>
          <w:p w:rsidR="00995305" w:rsidRPr="006348B4" w:rsidRDefault="00995305" w:rsidP="002F0BEC">
            <w:pPr>
              <w:rPr>
                <w:rFonts w:cs="Arial"/>
              </w:rPr>
            </w:pPr>
            <w:r w:rsidRPr="006348B4">
              <w:rPr>
                <w:rFonts w:cs="Arial"/>
              </w:rPr>
              <w:t>Mainstream MLD/SLD/PMLD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FFFF99"/>
            <w:noWrap/>
            <w:vAlign w:val="bottom"/>
          </w:tcPr>
          <w:p w:rsidR="00995305" w:rsidRPr="006348B4" w:rsidRDefault="00995305" w:rsidP="002F0BEC">
            <w:pPr>
              <w:jc w:val="center"/>
              <w:rPr>
                <w:rFonts w:cs="Arial"/>
              </w:rPr>
            </w:pPr>
            <w:r w:rsidRPr="006348B4">
              <w:rPr>
                <w:rFonts w:cs="Arial"/>
              </w:rPr>
              <w:t>MLD</w:t>
            </w:r>
          </w:p>
        </w:tc>
        <w:tc>
          <w:tcPr>
            <w:tcW w:w="1660" w:type="dxa"/>
            <w:tcBorders>
              <w:top w:val="nil"/>
              <w:left w:val="nil"/>
              <w:bottom w:val="single" w:sz="4" w:space="0" w:color="auto"/>
              <w:right w:val="single" w:sz="4" w:space="0" w:color="auto"/>
            </w:tcBorders>
            <w:shd w:val="clear" w:color="auto" w:fill="FFFF99"/>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FFFF99"/>
            <w:noWrap/>
            <w:vAlign w:val="bottom"/>
          </w:tcPr>
          <w:p w:rsidR="00995305" w:rsidRPr="006348B4" w:rsidRDefault="00995305" w:rsidP="002F0BEC">
            <w:pPr>
              <w:jc w:val="center"/>
              <w:rPr>
                <w:rFonts w:cs="Arial"/>
              </w:rPr>
            </w:pPr>
            <w:r w:rsidRPr="006348B4">
              <w:rPr>
                <w:rFonts w:cs="Arial"/>
              </w:rPr>
              <w:t>MLD+</w:t>
            </w:r>
          </w:p>
        </w:tc>
        <w:tc>
          <w:tcPr>
            <w:tcW w:w="1700" w:type="dxa"/>
            <w:tcBorders>
              <w:top w:val="nil"/>
              <w:left w:val="nil"/>
              <w:bottom w:val="single" w:sz="4" w:space="0" w:color="auto"/>
              <w:right w:val="single" w:sz="4" w:space="0" w:color="auto"/>
            </w:tcBorders>
            <w:shd w:val="clear" w:color="auto" w:fill="FFFF99"/>
            <w:noWrap/>
            <w:vAlign w:val="bottom"/>
          </w:tcPr>
          <w:p w:rsidR="00995305" w:rsidRPr="006348B4" w:rsidRDefault="00995305" w:rsidP="002F0BEC">
            <w:pPr>
              <w:jc w:val="center"/>
              <w:rPr>
                <w:rFonts w:cs="Arial"/>
              </w:rPr>
            </w:pPr>
            <w:r w:rsidRPr="006348B4">
              <w:rPr>
                <w:rFonts w:cs="Arial"/>
              </w:rPr>
              <w:t>SLD</w:t>
            </w:r>
          </w:p>
        </w:tc>
        <w:tc>
          <w:tcPr>
            <w:tcW w:w="1240" w:type="dxa"/>
            <w:tcBorders>
              <w:top w:val="nil"/>
              <w:left w:val="nil"/>
              <w:bottom w:val="single" w:sz="4" w:space="0" w:color="auto"/>
              <w:right w:val="single" w:sz="4" w:space="0" w:color="auto"/>
            </w:tcBorders>
            <w:shd w:val="clear" w:color="auto" w:fill="FFFF99"/>
            <w:noWrap/>
            <w:vAlign w:val="bottom"/>
          </w:tcPr>
          <w:p w:rsidR="00995305" w:rsidRPr="006348B4" w:rsidRDefault="00995305" w:rsidP="002F0BEC">
            <w:pPr>
              <w:jc w:val="center"/>
              <w:rPr>
                <w:rFonts w:cs="Arial"/>
              </w:rPr>
            </w:pPr>
            <w:r w:rsidRPr="006348B4">
              <w:rPr>
                <w:rFonts w:cs="Arial"/>
              </w:rPr>
              <w:t>PMLD</w:t>
            </w:r>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SLD+</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PMLD+</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PMLD++</w:t>
            </w:r>
          </w:p>
        </w:tc>
      </w:tr>
      <w:tr w:rsidR="00995305" w:rsidRPr="006348B4" w:rsidTr="002F0BEC">
        <w:trPr>
          <w:trHeight w:val="255"/>
        </w:trPr>
        <w:tc>
          <w:tcPr>
            <w:tcW w:w="2620" w:type="dxa"/>
            <w:tcBorders>
              <w:top w:val="nil"/>
              <w:left w:val="nil"/>
              <w:bottom w:val="nil"/>
              <w:right w:val="nil"/>
            </w:tcBorders>
            <w:shd w:val="clear" w:color="auto" w:fill="CCFFCC"/>
            <w:noWrap/>
            <w:vAlign w:val="bottom"/>
          </w:tcPr>
          <w:p w:rsidR="00995305" w:rsidRPr="006348B4" w:rsidRDefault="00995305" w:rsidP="002F0BEC">
            <w:pPr>
              <w:rPr>
                <w:rFonts w:cs="Arial"/>
              </w:rPr>
            </w:pPr>
            <w:r w:rsidRPr="006348B4">
              <w:rPr>
                <w:rFonts w:cs="Arial"/>
              </w:rPr>
              <w:t>Mainstream PD</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CC"/>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CC"/>
            <w:noWrap/>
            <w:vAlign w:val="bottom"/>
          </w:tcPr>
          <w:p w:rsidR="00995305" w:rsidRPr="006348B4" w:rsidRDefault="00995305" w:rsidP="002F0BEC">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CC"/>
            <w:noWrap/>
            <w:vAlign w:val="bottom"/>
          </w:tcPr>
          <w:p w:rsidR="00995305" w:rsidRPr="006348B4" w:rsidRDefault="00995305" w:rsidP="002F0BEC">
            <w:pPr>
              <w:jc w:val="center"/>
              <w:rPr>
                <w:rFonts w:cs="Arial"/>
              </w:rPr>
            </w:pPr>
            <w:r w:rsidRPr="006348B4">
              <w:rPr>
                <w:rFonts w:cs="Arial"/>
              </w:rPr>
              <w:t> </w:t>
            </w:r>
          </w:p>
        </w:tc>
        <w:tc>
          <w:tcPr>
            <w:tcW w:w="1240" w:type="dxa"/>
            <w:tcBorders>
              <w:top w:val="nil"/>
              <w:left w:val="nil"/>
              <w:bottom w:val="single" w:sz="4" w:space="0" w:color="auto"/>
              <w:right w:val="single" w:sz="4" w:space="0" w:color="auto"/>
            </w:tcBorders>
            <w:shd w:val="clear" w:color="auto" w:fill="CCFFCC"/>
            <w:noWrap/>
            <w:vAlign w:val="bottom"/>
          </w:tcPr>
          <w:p w:rsidR="00995305" w:rsidRPr="006348B4" w:rsidRDefault="00995305" w:rsidP="002F0BEC">
            <w:pPr>
              <w:jc w:val="center"/>
              <w:rPr>
                <w:rFonts w:cs="Arial"/>
              </w:rPr>
            </w:pPr>
            <w:r w:rsidRPr="006348B4">
              <w:rPr>
                <w:rFonts w:cs="Arial"/>
              </w:rPr>
              <w:t>PD</w:t>
            </w:r>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PD+</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PD++</w:t>
            </w:r>
          </w:p>
        </w:tc>
      </w:tr>
      <w:tr w:rsidR="00995305" w:rsidRPr="006348B4" w:rsidTr="002F0BEC">
        <w:trPr>
          <w:trHeight w:val="255"/>
        </w:trPr>
        <w:tc>
          <w:tcPr>
            <w:tcW w:w="2620" w:type="dxa"/>
            <w:tcBorders>
              <w:top w:val="nil"/>
              <w:left w:val="nil"/>
              <w:bottom w:val="nil"/>
              <w:right w:val="nil"/>
            </w:tcBorders>
            <w:shd w:val="clear" w:color="auto" w:fill="CCFFFF"/>
            <w:noWrap/>
            <w:vAlign w:val="bottom"/>
          </w:tcPr>
          <w:p w:rsidR="00995305" w:rsidRPr="006348B4" w:rsidRDefault="00995305" w:rsidP="002F0BEC">
            <w:pPr>
              <w:rPr>
                <w:rFonts w:cs="Arial"/>
              </w:rPr>
            </w:pPr>
            <w:r w:rsidRPr="006348B4">
              <w:rPr>
                <w:rFonts w:cs="Arial"/>
              </w:rPr>
              <w:t>Mainstream HI/VI</w:t>
            </w:r>
          </w:p>
        </w:tc>
        <w:tc>
          <w:tcPr>
            <w:tcW w:w="960" w:type="dxa"/>
            <w:tcBorders>
              <w:top w:val="nil"/>
              <w:left w:val="single" w:sz="8" w:space="0" w:color="auto"/>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660" w:type="dxa"/>
            <w:tcBorders>
              <w:top w:val="nil"/>
              <w:left w:val="nil"/>
              <w:bottom w:val="single" w:sz="4" w:space="0" w:color="auto"/>
              <w:right w:val="single" w:sz="4" w:space="0" w:color="auto"/>
            </w:tcBorders>
            <w:shd w:val="clear" w:color="auto" w:fill="CCFFFF"/>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4" w:space="0" w:color="auto"/>
              <w:right w:val="single" w:sz="4" w:space="0" w:color="auto"/>
            </w:tcBorders>
            <w:shd w:val="clear" w:color="auto" w:fill="CCFFFF"/>
            <w:noWrap/>
            <w:vAlign w:val="bottom"/>
          </w:tcPr>
          <w:p w:rsidR="00995305" w:rsidRPr="006348B4" w:rsidRDefault="00995305" w:rsidP="002F0BEC">
            <w:pPr>
              <w:jc w:val="center"/>
              <w:rPr>
                <w:rFonts w:cs="Arial"/>
              </w:rPr>
            </w:pPr>
            <w:r w:rsidRPr="006348B4">
              <w:rPr>
                <w:rFonts w:cs="Arial"/>
              </w:rPr>
              <w:t> </w:t>
            </w:r>
          </w:p>
        </w:tc>
        <w:tc>
          <w:tcPr>
            <w:tcW w:w="1700" w:type="dxa"/>
            <w:tcBorders>
              <w:top w:val="nil"/>
              <w:left w:val="nil"/>
              <w:bottom w:val="single" w:sz="4" w:space="0" w:color="auto"/>
              <w:right w:val="single" w:sz="4" w:space="0" w:color="auto"/>
            </w:tcBorders>
            <w:shd w:val="clear" w:color="auto" w:fill="CCFFFF"/>
            <w:noWrap/>
            <w:vAlign w:val="bottom"/>
          </w:tcPr>
          <w:p w:rsidR="00995305" w:rsidRPr="006348B4" w:rsidRDefault="00995305" w:rsidP="002F0BEC">
            <w:pPr>
              <w:jc w:val="center"/>
              <w:rPr>
                <w:rFonts w:cs="Arial"/>
              </w:rPr>
            </w:pPr>
            <w:r w:rsidRPr="006348B4">
              <w:rPr>
                <w:rFonts w:cs="Arial"/>
              </w:rPr>
              <w:t>HI/VI</w:t>
            </w:r>
          </w:p>
        </w:tc>
        <w:tc>
          <w:tcPr>
            <w:tcW w:w="1240" w:type="dxa"/>
            <w:tcBorders>
              <w:top w:val="nil"/>
              <w:left w:val="nil"/>
              <w:bottom w:val="single" w:sz="4" w:space="0" w:color="auto"/>
              <w:right w:val="single" w:sz="4" w:space="0" w:color="auto"/>
            </w:tcBorders>
            <w:shd w:val="clear" w:color="auto" w:fill="CCFFFF"/>
            <w:noWrap/>
            <w:vAlign w:val="bottom"/>
          </w:tcPr>
          <w:p w:rsidR="00995305" w:rsidRPr="006348B4" w:rsidRDefault="00995305" w:rsidP="002F0BEC">
            <w:pPr>
              <w:jc w:val="center"/>
              <w:rPr>
                <w:rFonts w:cs="Arial"/>
              </w:rPr>
            </w:pPr>
            <w:r w:rsidRPr="006348B4">
              <w:rPr>
                <w:rFonts w:cs="Arial"/>
              </w:rPr>
              <w:t> </w:t>
            </w:r>
          </w:p>
        </w:tc>
        <w:tc>
          <w:tcPr>
            <w:tcW w:w="102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smartTag w:uri="urn:schemas-microsoft-com:office:smarttags" w:element="State">
              <w:smartTag w:uri="urn:schemas-microsoft-com:office:smarttags" w:element="place">
                <w:r w:rsidRPr="006348B4">
                  <w:rPr>
                    <w:rFonts w:cs="Arial"/>
                  </w:rPr>
                  <w:t>HI+</w:t>
                </w:r>
              </w:smartTag>
            </w:smartTag>
            <w:r w:rsidRPr="006348B4">
              <w:rPr>
                <w:rFonts w:cs="Arial"/>
              </w:rPr>
              <w:t>/VI+</w:t>
            </w:r>
          </w:p>
        </w:tc>
        <w:tc>
          <w:tcPr>
            <w:tcW w:w="960" w:type="dxa"/>
            <w:tcBorders>
              <w:top w:val="nil"/>
              <w:left w:val="nil"/>
              <w:bottom w:val="single" w:sz="4"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124" w:type="dxa"/>
            <w:tcBorders>
              <w:top w:val="nil"/>
              <w:left w:val="nil"/>
              <w:bottom w:val="single" w:sz="4"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r>
      <w:tr w:rsidR="00995305" w:rsidRPr="006348B4" w:rsidTr="002F0BEC">
        <w:trPr>
          <w:trHeight w:val="270"/>
        </w:trPr>
        <w:tc>
          <w:tcPr>
            <w:tcW w:w="2620" w:type="dxa"/>
            <w:tcBorders>
              <w:top w:val="nil"/>
              <w:left w:val="nil"/>
              <w:bottom w:val="nil"/>
              <w:right w:val="nil"/>
            </w:tcBorders>
            <w:shd w:val="clear" w:color="auto" w:fill="99CCFF"/>
            <w:noWrap/>
            <w:vAlign w:val="bottom"/>
          </w:tcPr>
          <w:p w:rsidR="00995305" w:rsidRPr="006348B4" w:rsidRDefault="00995305" w:rsidP="002F0BEC">
            <w:pPr>
              <w:rPr>
                <w:rFonts w:cs="Arial"/>
              </w:rPr>
            </w:pPr>
            <w:r w:rsidRPr="006348B4">
              <w:rPr>
                <w:rFonts w:cs="Arial"/>
              </w:rPr>
              <w:t>Mainstream BESD</w:t>
            </w:r>
          </w:p>
        </w:tc>
        <w:tc>
          <w:tcPr>
            <w:tcW w:w="960" w:type="dxa"/>
            <w:tcBorders>
              <w:top w:val="nil"/>
              <w:left w:val="single" w:sz="8" w:space="0" w:color="auto"/>
              <w:bottom w:val="single" w:sz="8"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C0C0C0"/>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1660" w:type="dxa"/>
            <w:tcBorders>
              <w:top w:val="nil"/>
              <w:left w:val="nil"/>
              <w:bottom w:val="single" w:sz="8" w:space="0" w:color="auto"/>
              <w:right w:val="single" w:sz="4" w:space="0" w:color="auto"/>
            </w:tcBorders>
            <w:shd w:val="clear" w:color="auto" w:fill="99CCFF"/>
            <w:noWrap/>
            <w:vAlign w:val="bottom"/>
          </w:tcPr>
          <w:p w:rsidR="00995305" w:rsidRPr="006348B4" w:rsidRDefault="00995305" w:rsidP="002F0BEC">
            <w:pPr>
              <w:jc w:val="center"/>
              <w:rPr>
                <w:rFonts w:cs="Arial"/>
              </w:rPr>
            </w:pPr>
            <w:r w:rsidRPr="006348B4">
              <w:rPr>
                <w:rFonts w:cs="Arial"/>
              </w:rPr>
              <w:t> </w:t>
            </w:r>
          </w:p>
        </w:tc>
        <w:tc>
          <w:tcPr>
            <w:tcW w:w="1380" w:type="dxa"/>
            <w:tcBorders>
              <w:top w:val="nil"/>
              <w:left w:val="nil"/>
              <w:bottom w:val="single" w:sz="8" w:space="0" w:color="auto"/>
              <w:right w:val="single" w:sz="4" w:space="0" w:color="auto"/>
            </w:tcBorders>
            <w:shd w:val="clear" w:color="auto" w:fill="99CCFF"/>
            <w:noWrap/>
            <w:vAlign w:val="bottom"/>
          </w:tcPr>
          <w:p w:rsidR="00995305" w:rsidRPr="006348B4" w:rsidRDefault="00995305" w:rsidP="002F0BEC">
            <w:pPr>
              <w:jc w:val="center"/>
              <w:rPr>
                <w:rFonts w:cs="Arial"/>
              </w:rPr>
            </w:pPr>
            <w:r w:rsidRPr="006348B4">
              <w:rPr>
                <w:rFonts w:cs="Arial"/>
              </w:rPr>
              <w:t> </w:t>
            </w:r>
          </w:p>
        </w:tc>
        <w:tc>
          <w:tcPr>
            <w:tcW w:w="1700" w:type="dxa"/>
            <w:tcBorders>
              <w:top w:val="nil"/>
              <w:left w:val="nil"/>
              <w:bottom w:val="single" w:sz="8" w:space="0" w:color="auto"/>
              <w:right w:val="single" w:sz="4" w:space="0" w:color="auto"/>
            </w:tcBorders>
            <w:shd w:val="clear" w:color="auto" w:fill="99CCFF"/>
            <w:noWrap/>
            <w:vAlign w:val="bottom"/>
          </w:tcPr>
          <w:p w:rsidR="00995305" w:rsidRPr="006348B4" w:rsidRDefault="00995305" w:rsidP="002F0BEC">
            <w:pPr>
              <w:jc w:val="center"/>
              <w:rPr>
                <w:rFonts w:cs="Arial"/>
              </w:rPr>
            </w:pPr>
            <w:r w:rsidRPr="006348B4">
              <w:rPr>
                <w:rFonts w:cs="Arial"/>
              </w:rPr>
              <w:t> </w:t>
            </w:r>
          </w:p>
        </w:tc>
        <w:tc>
          <w:tcPr>
            <w:tcW w:w="1240" w:type="dxa"/>
            <w:tcBorders>
              <w:top w:val="nil"/>
              <w:left w:val="nil"/>
              <w:bottom w:val="single" w:sz="8" w:space="0" w:color="auto"/>
              <w:right w:val="single" w:sz="4" w:space="0" w:color="auto"/>
            </w:tcBorders>
            <w:shd w:val="clear" w:color="auto" w:fill="99CCFF"/>
            <w:noWrap/>
            <w:vAlign w:val="bottom"/>
          </w:tcPr>
          <w:p w:rsidR="00995305" w:rsidRPr="006348B4" w:rsidRDefault="00995305" w:rsidP="002F0BEC">
            <w:pPr>
              <w:jc w:val="center"/>
              <w:rPr>
                <w:rFonts w:cs="Arial"/>
              </w:rPr>
            </w:pPr>
            <w:r w:rsidRPr="006348B4">
              <w:rPr>
                <w:rFonts w:cs="Arial"/>
              </w:rPr>
              <w:t>BESD</w:t>
            </w:r>
          </w:p>
        </w:tc>
        <w:tc>
          <w:tcPr>
            <w:tcW w:w="1020" w:type="dxa"/>
            <w:tcBorders>
              <w:top w:val="nil"/>
              <w:left w:val="nil"/>
              <w:bottom w:val="single" w:sz="8"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 </w:t>
            </w:r>
          </w:p>
        </w:tc>
        <w:tc>
          <w:tcPr>
            <w:tcW w:w="960" w:type="dxa"/>
            <w:tcBorders>
              <w:top w:val="nil"/>
              <w:left w:val="nil"/>
              <w:bottom w:val="single" w:sz="8" w:space="0" w:color="auto"/>
              <w:right w:val="single" w:sz="4" w:space="0" w:color="auto"/>
            </w:tcBorders>
            <w:shd w:val="clear" w:color="auto" w:fill="auto"/>
            <w:noWrap/>
            <w:vAlign w:val="bottom"/>
          </w:tcPr>
          <w:p w:rsidR="00995305" w:rsidRPr="006348B4" w:rsidRDefault="00995305" w:rsidP="002F0BEC">
            <w:pPr>
              <w:jc w:val="center"/>
              <w:rPr>
                <w:rFonts w:cs="Arial"/>
              </w:rPr>
            </w:pPr>
            <w:r w:rsidRPr="006348B4">
              <w:rPr>
                <w:rFonts w:cs="Arial"/>
              </w:rPr>
              <w:t>BESD+</w:t>
            </w:r>
          </w:p>
        </w:tc>
        <w:tc>
          <w:tcPr>
            <w:tcW w:w="1124" w:type="dxa"/>
            <w:tcBorders>
              <w:top w:val="nil"/>
              <w:left w:val="nil"/>
              <w:bottom w:val="single" w:sz="8" w:space="0" w:color="auto"/>
              <w:right w:val="single" w:sz="8" w:space="0" w:color="auto"/>
            </w:tcBorders>
            <w:shd w:val="clear" w:color="auto" w:fill="auto"/>
            <w:noWrap/>
            <w:vAlign w:val="bottom"/>
          </w:tcPr>
          <w:p w:rsidR="00995305" w:rsidRPr="006348B4" w:rsidRDefault="00995305" w:rsidP="002F0BEC">
            <w:pPr>
              <w:jc w:val="center"/>
              <w:rPr>
                <w:rFonts w:cs="Arial"/>
              </w:rPr>
            </w:pPr>
            <w:r w:rsidRPr="006348B4">
              <w:rPr>
                <w:rFonts w:cs="Arial"/>
              </w:rPr>
              <w:t>BESD++</w:t>
            </w: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6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38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70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r>
      <w:tr w:rsidR="00995305" w:rsidRPr="006348B4" w:rsidTr="002F0BEC">
        <w:trPr>
          <w:trHeight w:val="255"/>
        </w:trPr>
        <w:tc>
          <w:tcPr>
            <w:tcW w:w="2620" w:type="dxa"/>
            <w:tcBorders>
              <w:top w:val="nil"/>
              <w:left w:val="nil"/>
              <w:bottom w:val="nil"/>
              <w:right w:val="nil"/>
            </w:tcBorders>
            <w:shd w:val="clear" w:color="auto" w:fill="auto"/>
            <w:noWrap/>
            <w:vAlign w:val="bottom"/>
          </w:tcPr>
          <w:p w:rsidR="00995305" w:rsidRPr="006348B4" w:rsidRDefault="00995305" w:rsidP="002F0BEC">
            <w:pP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6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38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70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r>
      <w:tr w:rsidR="00995305" w:rsidRPr="006348B4" w:rsidTr="002F0BEC">
        <w:trPr>
          <w:trHeight w:val="255"/>
        </w:trPr>
        <w:tc>
          <w:tcPr>
            <w:tcW w:w="10240" w:type="dxa"/>
            <w:gridSpan w:val="7"/>
            <w:tcBorders>
              <w:top w:val="nil"/>
              <w:left w:val="nil"/>
              <w:bottom w:val="nil"/>
              <w:right w:val="nil"/>
            </w:tcBorders>
            <w:shd w:val="clear" w:color="auto" w:fill="auto"/>
            <w:noWrap/>
            <w:vAlign w:val="bottom"/>
          </w:tcPr>
          <w:p w:rsidR="00995305" w:rsidRPr="006348B4" w:rsidRDefault="00995305" w:rsidP="002F0BEC">
            <w:pPr>
              <w:rPr>
                <w:rFonts w:cs="Arial"/>
                <w:b/>
                <w:bCs/>
              </w:rPr>
            </w:pPr>
            <w:r w:rsidRPr="006348B4">
              <w:rPr>
                <w:rFonts w:cs="Arial"/>
                <w:b/>
                <w:bCs/>
              </w:rPr>
              <w:t>Mainstream funding is within colour coded Bands (mainly range 4)</w:t>
            </w: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r>
      <w:tr w:rsidR="00995305" w:rsidRPr="006348B4" w:rsidTr="002F0BEC">
        <w:trPr>
          <w:trHeight w:val="255"/>
        </w:trPr>
        <w:tc>
          <w:tcPr>
            <w:tcW w:w="10240" w:type="dxa"/>
            <w:gridSpan w:val="7"/>
            <w:tcBorders>
              <w:top w:val="nil"/>
              <w:left w:val="nil"/>
              <w:bottom w:val="nil"/>
              <w:right w:val="nil"/>
            </w:tcBorders>
            <w:shd w:val="clear" w:color="auto" w:fill="auto"/>
            <w:noWrap/>
            <w:vAlign w:val="bottom"/>
          </w:tcPr>
          <w:p w:rsidR="00995305" w:rsidRPr="006348B4" w:rsidRDefault="00995305" w:rsidP="002F0BEC">
            <w:pPr>
              <w:rPr>
                <w:rFonts w:cs="Arial"/>
                <w:b/>
                <w:bCs/>
              </w:rPr>
            </w:pPr>
            <w:r w:rsidRPr="006348B4">
              <w:rPr>
                <w:rFonts w:cs="Arial"/>
                <w:b/>
                <w:bCs/>
              </w:rPr>
              <w:t>Funding is determined by actual Primary Need and is shown as text</w:t>
            </w:r>
          </w:p>
        </w:tc>
        <w:tc>
          <w:tcPr>
            <w:tcW w:w="124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02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960"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c>
          <w:tcPr>
            <w:tcW w:w="1124" w:type="dxa"/>
            <w:tcBorders>
              <w:top w:val="nil"/>
              <w:left w:val="nil"/>
              <w:bottom w:val="nil"/>
              <w:right w:val="nil"/>
            </w:tcBorders>
            <w:shd w:val="clear" w:color="auto" w:fill="auto"/>
            <w:noWrap/>
            <w:vAlign w:val="bottom"/>
          </w:tcPr>
          <w:p w:rsidR="00995305" w:rsidRPr="006348B4" w:rsidRDefault="00995305" w:rsidP="002F0BEC">
            <w:pPr>
              <w:jc w:val="center"/>
              <w:rPr>
                <w:rFonts w:cs="Arial"/>
              </w:rPr>
            </w:pPr>
          </w:p>
        </w:tc>
      </w:tr>
    </w:tbl>
    <w:p w:rsidR="00517A8F" w:rsidRDefault="00517A8F" w:rsidP="001B416B">
      <w:pPr>
        <w:jc w:val="both"/>
        <w:rPr>
          <w:sz w:val="22"/>
          <w:szCs w:val="22"/>
        </w:rPr>
      </w:pPr>
    </w:p>
    <w:p w:rsidR="00517A8F" w:rsidRDefault="00517A8F" w:rsidP="001B416B">
      <w:pPr>
        <w:jc w:val="both"/>
        <w:rPr>
          <w:sz w:val="22"/>
          <w:szCs w:val="22"/>
        </w:rPr>
      </w:pPr>
    </w:p>
    <w:p w:rsidR="00995305" w:rsidRDefault="00995305" w:rsidP="00995305">
      <w:pPr>
        <w:jc w:val="both"/>
        <w:rPr>
          <w:sz w:val="22"/>
          <w:szCs w:val="22"/>
        </w:rPr>
      </w:pPr>
    </w:p>
    <w:p w:rsidR="00995305" w:rsidRPr="00110077" w:rsidRDefault="00995305" w:rsidP="00995305">
      <w:pPr>
        <w:jc w:val="both"/>
        <w:rPr>
          <w:i/>
          <w:sz w:val="22"/>
          <w:szCs w:val="22"/>
        </w:rPr>
      </w:pPr>
      <w:r w:rsidRPr="00110077">
        <w:rPr>
          <w:i/>
          <w:sz w:val="22"/>
          <w:szCs w:val="22"/>
        </w:rPr>
        <w:t>The DfE, in its current operational guidance, states its expectation that the top-up for non-EHCP placements in alternative provisions are managed on a formulaic basis, rather than with reference to the individually identified need of pupils. Currently, there is agreement in place</w:t>
      </w:r>
      <w:r>
        <w:rPr>
          <w:i/>
          <w:sz w:val="22"/>
          <w:szCs w:val="22"/>
        </w:rPr>
        <w:t xml:space="preserve"> in Bradford</w:t>
      </w:r>
      <w:r w:rsidRPr="00110077">
        <w:rPr>
          <w:i/>
          <w:sz w:val="22"/>
          <w:szCs w:val="22"/>
        </w:rPr>
        <w:t xml:space="preserve"> that top-up for these placements is calculated at 50% Range 4D and 50% Range 5. This is the rate of funding that </w:t>
      </w:r>
      <w:r>
        <w:rPr>
          <w:i/>
          <w:sz w:val="22"/>
          <w:szCs w:val="22"/>
        </w:rPr>
        <w:t>is</w:t>
      </w:r>
      <w:r w:rsidRPr="00110077">
        <w:rPr>
          <w:i/>
          <w:sz w:val="22"/>
          <w:szCs w:val="22"/>
        </w:rPr>
        <w:t xml:space="preserve"> used by the Council in funding top-up relating to the placement in the PRUs and the Primary Behaviour Centres of children and young people permanently excluded.</w:t>
      </w:r>
    </w:p>
    <w:p w:rsidR="00517A8F" w:rsidRDefault="00517A8F" w:rsidP="001B416B">
      <w:pPr>
        <w:jc w:val="both"/>
        <w:rPr>
          <w:sz w:val="22"/>
          <w:szCs w:val="22"/>
        </w:rPr>
      </w:pPr>
    </w:p>
    <w:p w:rsidR="00517A8F" w:rsidRDefault="00517A8F"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5A63FC" w:rsidRDefault="005A63FC" w:rsidP="001B416B">
      <w:pPr>
        <w:jc w:val="both"/>
        <w:rPr>
          <w:sz w:val="22"/>
          <w:szCs w:val="22"/>
        </w:rPr>
        <w:sectPr w:rsidR="005A63FC" w:rsidSect="005A63FC">
          <w:pgSz w:w="16838" w:h="11906" w:orient="landscape"/>
          <w:pgMar w:top="624" w:right="624" w:bottom="624" w:left="624" w:header="709" w:footer="709" w:gutter="0"/>
          <w:cols w:space="708"/>
          <w:docGrid w:linePitch="360"/>
        </w:sectPr>
      </w:pPr>
    </w:p>
    <w:p w:rsidR="003B75EF" w:rsidRDefault="003B75EF" w:rsidP="003B75EF">
      <w:pPr>
        <w:jc w:val="center"/>
        <w:rPr>
          <w:b/>
          <w:sz w:val="22"/>
          <w:szCs w:val="22"/>
        </w:rPr>
      </w:pPr>
      <w:r>
        <w:rPr>
          <w:b/>
          <w:sz w:val="22"/>
          <w:szCs w:val="22"/>
        </w:rPr>
        <w:t>Appendix 3</w:t>
      </w:r>
    </w:p>
    <w:p w:rsidR="00BD0097" w:rsidRDefault="00BD0097" w:rsidP="003B75EF">
      <w:pPr>
        <w:jc w:val="center"/>
        <w:rPr>
          <w:b/>
          <w:sz w:val="22"/>
          <w:szCs w:val="22"/>
        </w:rPr>
      </w:pPr>
    </w:p>
    <w:p w:rsidR="003B75EF" w:rsidRPr="00716C50" w:rsidRDefault="003B75EF" w:rsidP="003B75EF">
      <w:pPr>
        <w:jc w:val="center"/>
        <w:rPr>
          <w:b/>
          <w:sz w:val="22"/>
          <w:szCs w:val="22"/>
        </w:rPr>
      </w:pPr>
      <w:r>
        <w:rPr>
          <w:b/>
          <w:sz w:val="22"/>
          <w:szCs w:val="22"/>
        </w:rPr>
        <w:t>P</w:t>
      </w:r>
      <w:r w:rsidRPr="003B75EF">
        <w:rPr>
          <w:b/>
          <w:sz w:val="22"/>
          <w:szCs w:val="22"/>
        </w:rPr>
        <w:t xml:space="preserve">roposed new Banded Model for </w:t>
      </w:r>
      <w:r w:rsidR="00F3262F">
        <w:rPr>
          <w:b/>
          <w:sz w:val="22"/>
          <w:szCs w:val="22"/>
        </w:rPr>
        <w:t xml:space="preserve">Funding </w:t>
      </w:r>
      <w:r w:rsidRPr="003B75EF">
        <w:rPr>
          <w:b/>
          <w:sz w:val="22"/>
          <w:szCs w:val="22"/>
        </w:rPr>
        <w:t xml:space="preserve">Pupil-Led Need Top Up </w:t>
      </w:r>
    </w:p>
    <w:p w:rsidR="003B75EF" w:rsidRDefault="003B75EF" w:rsidP="003B75EF">
      <w:pPr>
        <w:rPr>
          <w:rFonts w:cs="Arial"/>
          <w:b/>
          <w:sz w:val="22"/>
          <w:szCs w:val="22"/>
          <w:u w:val="single"/>
        </w:rPr>
      </w:pPr>
    </w:p>
    <w:p w:rsidR="003B75EF" w:rsidRDefault="003B75EF" w:rsidP="003B75EF">
      <w:pPr>
        <w:rPr>
          <w:rFonts w:cs="Arial"/>
          <w:b/>
          <w:sz w:val="22"/>
          <w:szCs w:val="22"/>
          <w:u w:val="single"/>
        </w:rPr>
      </w:pPr>
      <w:r>
        <w:rPr>
          <w:rFonts w:cs="Arial"/>
          <w:b/>
          <w:sz w:val="22"/>
          <w:szCs w:val="22"/>
          <w:u w:val="single"/>
        </w:rPr>
        <w:t>Introduction</w:t>
      </w:r>
    </w:p>
    <w:p w:rsidR="003B75EF" w:rsidRDefault="003B75EF" w:rsidP="003B75EF">
      <w:pPr>
        <w:jc w:val="both"/>
        <w:rPr>
          <w:rFonts w:cs="Arial"/>
          <w:b/>
          <w:sz w:val="22"/>
          <w:szCs w:val="22"/>
          <w:u w:val="single"/>
        </w:rPr>
      </w:pPr>
    </w:p>
    <w:p w:rsidR="003B75EF" w:rsidRPr="00BD0097" w:rsidRDefault="003B75EF" w:rsidP="003B75EF">
      <w:pPr>
        <w:jc w:val="both"/>
        <w:rPr>
          <w:rFonts w:cs="Arial"/>
          <w:sz w:val="22"/>
          <w:szCs w:val="22"/>
        </w:rPr>
      </w:pPr>
      <w:r w:rsidRPr="003B75EF">
        <w:rPr>
          <w:rFonts w:cs="Arial"/>
          <w:sz w:val="22"/>
          <w:szCs w:val="22"/>
        </w:rPr>
        <w:t>1.</w:t>
      </w:r>
      <w:r w:rsidRPr="00BD0097">
        <w:rPr>
          <w:rFonts w:cs="Arial"/>
          <w:sz w:val="22"/>
          <w:szCs w:val="22"/>
        </w:rPr>
        <w:t xml:space="preserve">1 Top-up funding (also known as Element 3 or ‘Plus’ funding) is the funding required by an institution, over and above place funding, to enable a child or young person with high needs to participate in education and learning. Top-up funding is expected </w:t>
      </w:r>
      <w:r w:rsidR="002B6DB0">
        <w:rPr>
          <w:rFonts w:cs="Arial"/>
          <w:sz w:val="22"/>
          <w:szCs w:val="22"/>
        </w:rPr>
        <w:t xml:space="preserve">to </w:t>
      </w:r>
      <w:r w:rsidRPr="00BD0097">
        <w:rPr>
          <w:rFonts w:cs="Arial"/>
          <w:sz w:val="22"/>
          <w:szCs w:val="22"/>
        </w:rPr>
        <w:t xml:space="preserve">reflect the cost of additional support an institution incurs related to the individual needs of the child or young person. </w:t>
      </w:r>
    </w:p>
    <w:p w:rsidR="003B75EF" w:rsidRPr="00BD0097" w:rsidRDefault="003B75EF" w:rsidP="003B75EF">
      <w:pPr>
        <w:rPr>
          <w:rFonts w:cs="Arial"/>
          <w:sz w:val="22"/>
          <w:szCs w:val="22"/>
        </w:rPr>
      </w:pPr>
    </w:p>
    <w:p w:rsidR="005170C9" w:rsidRDefault="003B75EF" w:rsidP="003B75EF">
      <w:pPr>
        <w:spacing w:after="200" w:line="276" w:lineRule="auto"/>
        <w:jc w:val="both"/>
        <w:rPr>
          <w:rFonts w:cs="Arial"/>
          <w:sz w:val="22"/>
          <w:szCs w:val="22"/>
        </w:rPr>
      </w:pPr>
      <w:r>
        <w:rPr>
          <w:rFonts w:cs="Arial"/>
          <w:sz w:val="22"/>
          <w:szCs w:val="22"/>
        </w:rPr>
        <w:t xml:space="preserve">1.2 As with many authorities, Bradford currently allocates </w:t>
      </w:r>
      <w:r w:rsidR="00DF115E">
        <w:rPr>
          <w:rFonts w:cs="Arial"/>
          <w:sz w:val="22"/>
          <w:szCs w:val="22"/>
        </w:rPr>
        <w:t>this top up funding using a b</w:t>
      </w:r>
      <w:r w:rsidR="00BD0097">
        <w:rPr>
          <w:rFonts w:cs="Arial"/>
          <w:sz w:val="22"/>
          <w:szCs w:val="22"/>
        </w:rPr>
        <w:t>and system</w:t>
      </w:r>
      <w:r w:rsidR="00DF115E">
        <w:rPr>
          <w:rFonts w:cs="Arial"/>
          <w:sz w:val="22"/>
          <w:szCs w:val="22"/>
        </w:rPr>
        <w:t xml:space="preserve">. </w:t>
      </w:r>
      <w:r w:rsidR="00304933">
        <w:rPr>
          <w:rFonts w:cs="Arial"/>
          <w:sz w:val="22"/>
          <w:szCs w:val="22"/>
        </w:rPr>
        <w:t>Our current</w:t>
      </w:r>
      <w:r w:rsidR="005170C9" w:rsidRPr="00BD0097">
        <w:rPr>
          <w:rFonts w:cs="Arial"/>
          <w:sz w:val="22"/>
          <w:szCs w:val="22"/>
        </w:rPr>
        <w:t xml:space="preserve"> model is attached for reference at Appendix 2. This m</w:t>
      </w:r>
      <w:r w:rsidR="005170C9">
        <w:rPr>
          <w:rFonts w:cs="Arial"/>
          <w:sz w:val="22"/>
          <w:szCs w:val="22"/>
        </w:rPr>
        <w:t>odel is used to assign EHCPs</w:t>
      </w:r>
      <w:r w:rsidR="005170C9" w:rsidRPr="00BD0097">
        <w:rPr>
          <w:rFonts w:cs="Arial"/>
          <w:sz w:val="22"/>
          <w:szCs w:val="22"/>
        </w:rPr>
        <w:t xml:space="preserve"> into categories of need for funding purposes. Each range has an applicable l</w:t>
      </w:r>
      <w:r w:rsidR="000C43C4">
        <w:rPr>
          <w:rFonts w:cs="Arial"/>
          <w:sz w:val="22"/>
          <w:szCs w:val="22"/>
        </w:rPr>
        <w:t>evel of funding and every EHCP</w:t>
      </w:r>
      <w:r w:rsidR="005170C9" w:rsidRPr="00BD0097">
        <w:rPr>
          <w:rFonts w:cs="Arial"/>
          <w:sz w:val="22"/>
          <w:szCs w:val="22"/>
        </w:rPr>
        <w:t xml:space="preserve"> assi</w:t>
      </w:r>
      <w:r w:rsidR="009506FA">
        <w:rPr>
          <w:rFonts w:cs="Arial"/>
          <w:sz w:val="22"/>
          <w:szCs w:val="22"/>
        </w:rPr>
        <w:t>gned to a range is allocated this</w:t>
      </w:r>
      <w:r w:rsidR="005170C9" w:rsidRPr="00BD0097">
        <w:rPr>
          <w:rFonts w:cs="Arial"/>
          <w:sz w:val="22"/>
          <w:szCs w:val="22"/>
        </w:rPr>
        <w:t xml:space="preserve"> set value of funding.</w:t>
      </w:r>
    </w:p>
    <w:p w:rsidR="003B75EF" w:rsidRDefault="005170C9" w:rsidP="003B75EF">
      <w:pPr>
        <w:spacing w:after="200" w:line="276" w:lineRule="auto"/>
        <w:jc w:val="both"/>
        <w:rPr>
          <w:rFonts w:cs="Arial"/>
          <w:sz w:val="22"/>
          <w:szCs w:val="22"/>
        </w:rPr>
      </w:pPr>
      <w:r>
        <w:rPr>
          <w:rFonts w:cs="Arial"/>
          <w:sz w:val="22"/>
          <w:szCs w:val="22"/>
        </w:rPr>
        <w:t>1.3 A band</w:t>
      </w:r>
      <w:r w:rsidR="00BD0097">
        <w:rPr>
          <w:rFonts w:cs="Arial"/>
          <w:sz w:val="22"/>
          <w:szCs w:val="22"/>
        </w:rPr>
        <w:t xml:space="preserve"> </w:t>
      </w:r>
      <w:r>
        <w:rPr>
          <w:rFonts w:cs="Arial"/>
          <w:sz w:val="22"/>
          <w:szCs w:val="22"/>
        </w:rPr>
        <w:t>s</w:t>
      </w:r>
      <w:r w:rsidR="00BD0097">
        <w:rPr>
          <w:rFonts w:cs="Arial"/>
          <w:sz w:val="22"/>
          <w:szCs w:val="22"/>
        </w:rPr>
        <w:t>ystem</w:t>
      </w:r>
      <w:r w:rsidR="003B75EF">
        <w:rPr>
          <w:rFonts w:cs="Arial"/>
          <w:sz w:val="22"/>
          <w:szCs w:val="22"/>
        </w:rPr>
        <w:t xml:space="preserve"> </w:t>
      </w:r>
      <w:r w:rsidR="00317362">
        <w:rPr>
          <w:rFonts w:cs="Arial"/>
          <w:sz w:val="22"/>
          <w:szCs w:val="22"/>
        </w:rPr>
        <w:t>is</w:t>
      </w:r>
      <w:r w:rsidR="003B75EF">
        <w:rPr>
          <w:rFonts w:cs="Arial"/>
          <w:sz w:val="22"/>
          <w:szCs w:val="22"/>
        </w:rPr>
        <w:t xml:space="preserve"> more responsive to the needs of an individual child or young person than a blanket lump sum style</w:t>
      </w:r>
      <w:r w:rsidR="00C84B37">
        <w:rPr>
          <w:rFonts w:cs="Arial"/>
          <w:sz w:val="22"/>
          <w:szCs w:val="22"/>
        </w:rPr>
        <w:t xml:space="preserve"> approach but</w:t>
      </w:r>
      <w:r w:rsidR="003B75EF">
        <w:rPr>
          <w:rFonts w:cs="Arial"/>
          <w:sz w:val="22"/>
          <w:szCs w:val="22"/>
        </w:rPr>
        <w:t xml:space="preserve"> is not quite as sensitive as an approach where the</w:t>
      </w:r>
      <w:r w:rsidR="000C43C4">
        <w:rPr>
          <w:rFonts w:cs="Arial"/>
          <w:sz w:val="22"/>
          <w:szCs w:val="22"/>
        </w:rPr>
        <w:t xml:space="preserve"> cost of the</w:t>
      </w:r>
      <w:r w:rsidR="003B75EF">
        <w:rPr>
          <w:rFonts w:cs="Arial"/>
          <w:sz w:val="22"/>
          <w:szCs w:val="22"/>
        </w:rPr>
        <w:t xml:space="preserve"> nee</w:t>
      </w:r>
      <w:r w:rsidR="00A47365">
        <w:rPr>
          <w:rFonts w:cs="Arial"/>
          <w:sz w:val="22"/>
          <w:szCs w:val="22"/>
        </w:rPr>
        <w:t>d</w:t>
      </w:r>
      <w:r w:rsidR="000C43C4">
        <w:rPr>
          <w:rFonts w:cs="Arial"/>
          <w:sz w:val="22"/>
          <w:szCs w:val="22"/>
        </w:rPr>
        <w:t>s of a child or young person is</w:t>
      </w:r>
      <w:r w:rsidR="003B75EF">
        <w:rPr>
          <w:rFonts w:cs="Arial"/>
          <w:sz w:val="22"/>
          <w:szCs w:val="22"/>
        </w:rPr>
        <w:t xml:space="preserve"> calculated </w:t>
      </w:r>
      <w:r w:rsidR="00C84B37">
        <w:rPr>
          <w:rFonts w:cs="Arial"/>
          <w:sz w:val="22"/>
          <w:szCs w:val="22"/>
        </w:rPr>
        <w:t>on an exact</w:t>
      </w:r>
      <w:r w:rsidR="003B75EF">
        <w:rPr>
          <w:rFonts w:cs="Arial"/>
          <w:sz w:val="22"/>
          <w:szCs w:val="22"/>
        </w:rPr>
        <w:t xml:space="preserve"> b</w:t>
      </w:r>
      <w:r w:rsidR="00420C64">
        <w:rPr>
          <w:rFonts w:cs="Arial"/>
          <w:sz w:val="22"/>
          <w:szCs w:val="22"/>
        </w:rPr>
        <w:t xml:space="preserve">asis. Blanket, </w:t>
      </w:r>
      <w:r>
        <w:rPr>
          <w:rFonts w:cs="Arial"/>
          <w:sz w:val="22"/>
          <w:szCs w:val="22"/>
        </w:rPr>
        <w:t>band</w:t>
      </w:r>
      <w:r w:rsidR="00420C64">
        <w:rPr>
          <w:rFonts w:cs="Arial"/>
          <w:sz w:val="22"/>
          <w:szCs w:val="22"/>
        </w:rPr>
        <w:t>, and individual</w:t>
      </w:r>
      <w:r w:rsidR="00595E04">
        <w:rPr>
          <w:rFonts w:cs="Arial"/>
          <w:sz w:val="22"/>
          <w:szCs w:val="22"/>
        </w:rPr>
        <w:t>ly</w:t>
      </w:r>
      <w:r w:rsidR="00420C64">
        <w:rPr>
          <w:rFonts w:cs="Arial"/>
          <w:sz w:val="22"/>
          <w:szCs w:val="22"/>
        </w:rPr>
        <w:t>-costed systems all have pros and cons</w:t>
      </w:r>
      <w:r w:rsidR="003B75EF">
        <w:rPr>
          <w:rFonts w:cs="Arial"/>
          <w:sz w:val="22"/>
          <w:szCs w:val="22"/>
        </w:rPr>
        <w:t xml:space="preserve">. </w:t>
      </w:r>
      <w:r w:rsidR="00D35D20">
        <w:rPr>
          <w:rFonts w:cs="Arial"/>
          <w:sz w:val="22"/>
          <w:szCs w:val="22"/>
        </w:rPr>
        <w:t>The main positive features of b</w:t>
      </w:r>
      <w:r>
        <w:rPr>
          <w:rFonts w:cs="Arial"/>
          <w:sz w:val="22"/>
          <w:szCs w:val="22"/>
        </w:rPr>
        <w:t>and</w:t>
      </w:r>
      <w:r w:rsidR="00D35D20">
        <w:rPr>
          <w:rFonts w:cs="Arial"/>
          <w:sz w:val="22"/>
          <w:szCs w:val="22"/>
        </w:rPr>
        <w:t xml:space="preserve"> m</w:t>
      </w:r>
      <w:r w:rsidR="003B75EF">
        <w:rPr>
          <w:rFonts w:cs="Arial"/>
          <w:sz w:val="22"/>
          <w:szCs w:val="22"/>
        </w:rPr>
        <w:t>odel</w:t>
      </w:r>
      <w:r w:rsidR="00D35D20">
        <w:rPr>
          <w:rFonts w:cs="Arial"/>
          <w:sz w:val="22"/>
          <w:szCs w:val="22"/>
        </w:rPr>
        <w:t>s</w:t>
      </w:r>
      <w:r w:rsidR="003B75EF">
        <w:rPr>
          <w:rFonts w:cs="Arial"/>
          <w:sz w:val="22"/>
          <w:szCs w:val="22"/>
        </w:rPr>
        <w:t xml:space="preserve">, and </w:t>
      </w:r>
      <w:r w:rsidR="000C43C4">
        <w:rPr>
          <w:rFonts w:cs="Arial"/>
          <w:sz w:val="22"/>
          <w:szCs w:val="22"/>
        </w:rPr>
        <w:t xml:space="preserve">of </w:t>
      </w:r>
      <w:r w:rsidR="003B75EF">
        <w:rPr>
          <w:rFonts w:cs="Arial"/>
          <w:sz w:val="22"/>
          <w:szCs w:val="22"/>
        </w:rPr>
        <w:t xml:space="preserve">our proposed </w:t>
      </w:r>
      <w:r w:rsidR="003B75EF" w:rsidRPr="003B75EF">
        <w:rPr>
          <w:rFonts w:cs="Arial"/>
          <w:sz w:val="22"/>
          <w:szCs w:val="22"/>
        </w:rPr>
        <w:t>new model</w:t>
      </w:r>
      <w:r w:rsidR="003B75EF">
        <w:rPr>
          <w:rFonts w:cs="Arial"/>
          <w:sz w:val="22"/>
          <w:szCs w:val="22"/>
        </w:rPr>
        <w:t>,</w:t>
      </w:r>
      <w:r w:rsidR="00A47365">
        <w:rPr>
          <w:rFonts w:cs="Arial"/>
          <w:sz w:val="22"/>
          <w:szCs w:val="22"/>
        </w:rPr>
        <w:t xml:space="preserve"> are</w:t>
      </w:r>
      <w:r w:rsidR="00420C64">
        <w:rPr>
          <w:rFonts w:cs="Arial"/>
          <w:sz w:val="22"/>
          <w:szCs w:val="22"/>
        </w:rPr>
        <w:t xml:space="preserve"> </w:t>
      </w:r>
      <w:r w:rsidR="00D35D20">
        <w:rPr>
          <w:rFonts w:cs="Arial"/>
          <w:sz w:val="22"/>
          <w:szCs w:val="22"/>
        </w:rPr>
        <w:t>that these help promote consistency and transparency</w:t>
      </w:r>
      <w:r w:rsidR="00A47365">
        <w:rPr>
          <w:rFonts w:cs="Arial"/>
          <w:sz w:val="22"/>
          <w:szCs w:val="22"/>
        </w:rPr>
        <w:t>, reduce complication</w:t>
      </w:r>
      <w:r w:rsidR="000C43C4">
        <w:rPr>
          <w:rFonts w:cs="Arial"/>
          <w:sz w:val="22"/>
          <w:szCs w:val="22"/>
        </w:rPr>
        <w:t>, support</w:t>
      </w:r>
      <w:r w:rsidR="00317362">
        <w:rPr>
          <w:rFonts w:cs="Arial"/>
          <w:sz w:val="22"/>
          <w:szCs w:val="22"/>
        </w:rPr>
        <w:t xml:space="preserve"> the quick assessment and release of funds, whilst also</w:t>
      </w:r>
      <w:r w:rsidR="00420C64">
        <w:rPr>
          <w:rFonts w:cs="Arial"/>
          <w:sz w:val="22"/>
          <w:szCs w:val="22"/>
        </w:rPr>
        <w:t xml:space="preserve"> </w:t>
      </w:r>
      <w:r w:rsidR="00317362">
        <w:rPr>
          <w:rFonts w:cs="Arial"/>
          <w:sz w:val="22"/>
          <w:szCs w:val="22"/>
        </w:rPr>
        <w:t>enabling</w:t>
      </w:r>
      <w:r w:rsidR="003B75EF" w:rsidRPr="003B75EF">
        <w:rPr>
          <w:rFonts w:cs="Arial"/>
          <w:sz w:val="22"/>
          <w:szCs w:val="22"/>
        </w:rPr>
        <w:t xml:space="preserve"> the </w:t>
      </w:r>
      <w:r w:rsidR="003B75EF">
        <w:rPr>
          <w:rFonts w:cs="Arial"/>
          <w:sz w:val="22"/>
          <w:szCs w:val="22"/>
        </w:rPr>
        <w:t xml:space="preserve">SEND </w:t>
      </w:r>
      <w:r w:rsidR="00317362">
        <w:rPr>
          <w:rFonts w:cs="Arial"/>
          <w:sz w:val="22"/>
          <w:szCs w:val="22"/>
        </w:rPr>
        <w:t>Panel to find a ‘close</w:t>
      </w:r>
      <w:r w:rsidR="00B04342">
        <w:rPr>
          <w:rFonts w:cs="Arial"/>
          <w:sz w:val="22"/>
          <w:szCs w:val="22"/>
        </w:rPr>
        <w:t xml:space="preserve"> fit’ for</w:t>
      </w:r>
      <w:r w:rsidR="003B75EF" w:rsidRPr="003B75EF">
        <w:rPr>
          <w:rFonts w:cs="Arial"/>
          <w:sz w:val="22"/>
          <w:szCs w:val="22"/>
        </w:rPr>
        <w:t xml:space="preserve"> funding</w:t>
      </w:r>
      <w:r w:rsidR="009506FA">
        <w:rPr>
          <w:rFonts w:cs="Arial"/>
          <w:sz w:val="22"/>
          <w:szCs w:val="22"/>
        </w:rPr>
        <w:t xml:space="preserve"> the needs of a child or young person</w:t>
      </w:r>
      <w:r w:rsidR="000E2966">
        <w:rPr>
          <w:rFonts w:cs="Arial"/>
          <w:sz w:val="22"/>
          <w:szCs w:val="22"/>
        </w:rPr>
        <w:t xml:space="preserve"> with an EHCP</w:t>
      </w:r>
      <w:r w:rsidR="009506FA">
        <w:rPr>
          <w:rFonts w:cs="Arial"/>
          <w:sz w:val="22"/>
          <w:szCs w:val="22"/>
        </w:rPr>
        <w:t>.</w:t>
      </w:r>
    </w:p>
    <w:p w:rsidR="00BD0097" w:rsidRPr="00BD0097" w:rsidRDefault="002B6DB0" w:rsidP="00BD0097">
      <w:pPr>
        <w:spacing w:after="200" w:line="276" w:lineRule="auto"/>
        <w:jc w:val="both"/>
        <w:rPr>
          <w:rFonts w:cs="Arial"/>
          <w:sz w:val="22"/>
          <w:szCs w:val="22"/>
        </w:rPr>
      </w:pPr>
      <w:r>
        <w:rPr>
          <w:rFonts w:cs="Arial"/>
          <w:sz w:val="22"/>
          <w:szCs w:val="22"/>
        </w:rPr>
        <w:t xml:space="preserve">1.4 The Local Authority has been working over the past 18 months with the District Achievement Partnership (DAP) on how we can improve the responsiveness of our model. </w:t>
      </w:r>
      <w:r w:rsidR="00435087">
        <w:rPr>
          <w:rFonts w:cs="Arial"/>
          <w:sz w:val="22"/>
          <w:szCs w:val="22"/>
        </w:rPr>
        <w:t xml:space="preserve">Two </w:t>
      </w:r>
      <w:r w:rsidR="00BD0097" w:rsidRPr="00BD0097">
        <w:rPr>
          <w:rFonts w:cs="Arial"/>
          <w:sz w:val="22"/>
          <w:szCs w:val="22"/>
        </w:rPr>
        <w:t>limitation</w:t>
      </w:r>
      <w:r w:rsidR="00435087">
        <w:rPr>
          <w:rFonts w:cs="Arial"/>
          <w:sz w:val="22"/>
          <w:szCs w:val="22"/>
        </w:rPr>
        <w:t>s</w:t>
      </w:r>
      <w:r w:rsidR="00BD0097">
        <w:rPr>
          <w:rFonts w:cs="Arial"/>
          <w:sz w:val="22"/>
          <w:szCs w:val="22"/>
        </w:rPr>
        <w:t xml:space="preserve"> of our</w:t>
      </w:r>
      <w:r w:rsidR="00435087">
        <w:rPr>
          <w:rFonts w:cs="Arial"/>
          <w:sz w:val="22"/>
          <w:szCs w:val="22"/>
        </w:rPr>
        <w:t xml:space="preserve"> current model</w:t>
      </w:r>
      <w:r w:rsidR="00EA128B">
        <w:rPr>
          <w:rFonts w:cs="Arial"/>
          <w:sz w:val="22"/>
          <w:szCs w:val="22"/>
        </w:rPr>
        <w:t xml:space="preserve"> that have been identified</w:t>
      </w:r>
      <w:r w:rsidR="00435087">
        <w:rPr>
          <w:rFonts w:cs="Arial"/>
          <w:sz w:val="22"/>
          <w:szCs w:val="22"/>
        </w:rPr>
        <w:t xml:space="preserve"> are</w:t>
      </w:r>
      <w:r w:rsidR="00BD0097" w:rsidRPr="00BD0097">
        <w:rPr>
          <w:rFonts w:cs="Arial"/>
          <w:sz w:val="22"/>
          <w:szCs w:val="22"/>
        </w:rPr>
        <w:t xml:space="preserve"> that i</w:t>
      </w:r>
      <w:r w:rsidR="00A47365">
        <w:rPr>
          <w:rFonts w:cs="Arial"/>
          <w:sz w:val="22"/>
          <w:szCs w:val="22"/>
        </w:rPr>
        <w:t>t</w:t>
      </w:r>
      <w:r w:rsidR="00F3262F">
        <w:rPr>
          <w:rFonts w:cs="Arial"/>
          <w:sz w:val="22"/>
          <w:szCs w:val="22"/>
        </w:rPr>
        <w:t xml:space="preserve"> allocates funding </w:t>
      </w:r>
      <w:r w:rsidR="00A47365">
        <w:rPr>
          <w:rFonts w:cs="Arial"/>
          <w:sz w:val="22"/>
          <w:szCs w:val="22"/>
        </w:rPr>
        <w:t>purely on primary need</w:t>
      </w:r>
      <w:r w:rsidR="00435087">
        <w:rPr>
          <w:rFonts w:cs="Arial"/>
          <w:sz w:val="22"/>
          <w:szCs w:val="22"/>
        </w:rPr>
        <w:t xml:space="preserve"> and can only allocate a single value</w:t>
      </w:r>
      <w:r w:rsidR="00EA128B">
        <w:rPr>
          <w:rFonts w:cs="Arial"/>
          <w:sz w:val="22"/>
          <w:szCs w:val="22"/>
        </w:rPr>
        <w:t xml:space="preserve"> per EHCP</w:t>
      </w:r>
      <w:r w:rsidR="00A47365">
        <w:rPr>
          <w:rFonts w:cs="Arial"/>
          <w:sz w:val="22"/>
          <w:szCs w:val="22"/>
        </w:rPr>
        <w:t>. We believe that a new banded m</w:t>
      </w:r>
      <w:r w:rsidR="00BD0097" w:rsidRPr="00BD0097">
        <w:rPr>
          <w:rFonts w:cs="Arial"/>
          <w:sz w:val="22"/>
          <w:szCs w:val="22"/>
        </w:rPr>
        <w:t>odel, which</w:t>
      </w:r>
      <w:r w:rsidR="00435087">
        <w:rPr>
          <w:rFonts w:cs="Arial"/>
          <w:sz w:val="22"/>
          <w:szCs w:val="22"/>
        </w:rPr>
        <w:t xml:space="preserve"> in particular</w:t>
      </w:r>
      <w:r w:rsidR="00BD0097">
        <w:rPr>
          <w:rFonts w:cs="Arial"/>
          <w:sz w:val="22"/>
          <w:szCs w:val="22"/>
        </w:rPr>
        <w:t xml:space="preserve"> </w:t>
      </w:r>
      <w:r w:rsidR="00BD0097" w:rsidRPr="00BD0097">
        <w:rPr>
          <w:rFonts w:cs="Arial"/>
          <w:sz w:val="22"/>
          <w:szCs w:val="22"/>
        </w:rPr>
        <w:t>removes</w:t>
      </w:r>
      <w:r w:rsidR="00BD0097">
        <w:rPr>
          <w:rFonts w:cs="Arial"/>
          <w:sz w:val="22"/>
          <w:szCs w:val="22"/>
        </w:rPr>
        <w:t xml:space="preserve"> th</w:t>
      </w:r>
      <w:r w:rsidR="00F3262F">
        <w:rPr>
          <w:rFonts w:cs="Arial"/>
          <w:sz w:val="22"/>
          <w:szCs w:val="22"/>
        </w:rPr>
        <w:t>e</w:t>
      </w:r>
      <w:r w:rsidR="00BD0097" w:rsidRPr="00BD0097">
        <w:rPr>
          <w:rFonts w:cs="Arial"/>
          <w:sz w:val="22"/>
          <w:szCs w:val="22"/>
        </w:rPr>
        <w:t xml:space="preserve"> reference to primary need</w:t>
      </w:r>
      <w:r w:rsidR="00BD0097">
        <w:rPr>
          <w:rFonts w:cs="Arial"/>
          <w:sz w:val="22"/>
          <w:szCs w:val="22"/>
        </w:rPr>
        <w:t>, will result in a more flexible, responsive and accurate system</w:t>
      </w:r>
      <w:r w:rsidR="00860341">
        <w:rPr>
          <w:rFonts w:cs="Arial"/>
          <w:sz w:val="22"/>
          <w:szCs w:val="22"/>
        </w:rPr>
        <w:t xml:space="preserve">. </w:t>
      </w:r>
      <w:r w:rsidR="004001AE">
        <w:rPr>
          <w:rFonts w:cs="Arial"/>
          <w:sz w:val="22"/>
          <w:szCs w:val="22"/>
        </w:rPr>
        <w:t xml:space="preserve">Our development work with the </w:t>
      </w:r>
      <w:r w:rsidR="00F3262F">
        <w:rPr>
          <w:rFonts w:cs="Arial"/>
          <w:sz w:val="22"/>
          <w:szCs w:val="22"/>
        </w:rPr>
        <w:t>DAP</w:t>
      </w:r>
      <w:r w:rsidR="004001AE">
        <w:rPr>
          <w:rFonts w:cs="Arial"/>
          <w:sz w:val="22"/>
          <w:szCs w:val="22"/>
        </w:rPr>
        <w:t xml:space="preserve"> has evidence</w:t>
      </w:r>
      <w:r w:rsidR="00435087">
        <w:rPr>
          <w:rFonts w:cs="Arial"/>
          <w:sz w:val="22"/>
          <w:szCs w:val="22"/>
        </w:rPr>
        <w:t>d</w:t>
      </w:r>
      <w:r w:rsidR="004001AE">
        <w:rPr>
          <w:rFonts w:cs="Arial"/>
          <w:sz w:val="22"/>
          <w:szCs w:val="22"/>
        </w:rPr>
        <w:t xml:space="preserve"> clearly how our </w:t>
      </w:r>
      <w:r w:rsidR="006675AF">
        <w:rPr>
          <w:rFonts w:cs="Arial"/>
          <w:sz w:val="22"/>
          <w:szCs w:val="22"/>
        </w:rPr>
        <w:t xml:space="preserve">EHCP </w:t>
      </w:r>
      <w:r w:rsidR="004001AE">
        <w:rPr>
          <w:rFonts w:cs="Arial"/>
          <w:sz w:val="22"/>
          <w:szCs w:val="22"/>
        </w:rPr>
        <w:t>funding system can be improved through this change.</w:t>
      </w:r>
    </w:p>
    <w:p w:rsidR="00BD0097" w:rsidRDefault="00BD0097" w:rsidP="003B75EF">
      <w:pPr>
        <w:jc w:val="both"/>
        <w:rPr>
          <w:sz w:val="22"/>
          <w:szCs w:val="22"/>
        </w:rPr>
      </w:pPr>
      <w:r>
        <w:rPr>
          <w:sz w:val="22"/>
          <w:szCs w:val="22"/>
        </w:rPr>
        <w:t>1.5</w:t>
      </w:r>
      <w:r w:rsidR="00F3262F">
        <w:rPr>
          <w:sz w:val="22"/>
          <w:szCs w:val="22"/>
        </w:rPr>
        <w:t xml:space="preserve"> In continuing to use a banded m</w:t>
      </w:r>
      <w:r w:rsidRPr="004B4608">
        <w:rPr>
          <w:sz w:val="22"/>
          <w:szCs w:val="22"/>
        </w:rPr>
        <w:t xml:space="preserve">odel, the Council’s intention is </w:t>
      </w:r>
      <w:r>
        <w:rPr>
          <w:sz w:val="22"/>
          <w:szCs w:val="22"/>
        </w:rPr>
        <w:t xml:space="preserve">still </w:t>
      </w:r>
      <w:r w:rsidRPr="004B4608">
        <w:rPr>
          <w:sz w:val="22"/>
          <w:szCs w:val="22"/>
        </w:rPr>
        <w:t xml:space="preserve">to retain </w:t>
      </w:r>
      <w:r w:rsidR="00F3262F">
        <w:rPr>
          <w:sz w:val="22"/>
          <w:szCs w:val="22"/>
        </w:rPr>
        <w:t>a</w:t>
      </w:r>
      <w:r w:rsidRPr="004B4608">
        <w:rPr>
          <w:sz w:val="22"/>
          <w:szCs w:val="22"/>
        </w:rPr>
        <w:t xml:space="preserve"> uniform framework for calculating top-up funding for EHCPs. The Council’s expectation continues to be that this framework will ena</w:t>
      </w:r>
      <w:r>
        <w:rPr>
          <w:sz w:val="22"/>
          <w:szCs w:val="22"/>
        </w:rPr>
        <w:t>ble a</w:t>
      </w:r>
      <w:r w:rsidRPr="004B4608">
        <w:rPr>
          <w:sz w:val="22"/>
          <w:szCs w:val="22"/>
        </w:rPr>
        <w:t xml:space="preserve"> close fit </w:t>
      </w:r>
      <w:r>
        <w:rPr>
          <w:sz w:val="22"/>
          <w:szCs w:val="22"/>
        </w:rPr>
        <w:t>to be found for the funding of the vast majority of EHCPs and will ensure consistency of approach in the funding of high needs across mainstream and specialist settings both pre and post 16. It is accepted that there will be a small number of children or young people that will si</w:t>
      </w:r>
      <w:r w:rsidR="00B04342">
        <w:rPr>
          <w:sz w:val="22"/>
          <w:szCs w:val="22"/>
        </w:rPr>
        <w:t>t outside this banded framework,</w:t>
      </w:r>
      <w:r>
        <w:rPr>
          <w:sz w:val="22"/>
          <w:szCs w:val="22"/>
        </w:rPr>
        <w:t xml:space="preserve"> most of whom will be placed in sp</w:t>
      </w:r>
      <w:r w:rsidR="006675AF">
        <w:rPr>
          <w:sz w:val="22"/>
          <w:szCs w:val="22"/>
        </w:rPr>
        <w:t>ecialist independent provisions.</w:t>
      </w:r>
    </w:p>
    <w:p w:rsidR="00F3262F" w:rsidRPr="00F3262F" w:rsidRDefault="00F3262F" w:rsidP="003B75EF">
      <w:pPr>
        <w:jc w:val="both"/>
        <w:rPr>
          <w:sz w:val="22"/>
          <w:szCs w:val="22"/>
        </w:rPr>
      </w:pPr>
    </w:p>
    <w:p w:rsidR="003B75EF" w:rsidRPr="00435087" w:rsidRDefault="00F3262F" w:rsidP="003B75EF">
      <w:pPr>
        <w:jc w:val="both"/>
        <w:rPr>
          <w:b/>
          <w:sz w:val="22"/>
          <w:szCs w:val="22"/>
        </w:rPr>
      </w:pPr>
      <w:r w:rsidRPr="00435087">
        <w:rPr>
          <w:b/>
          <w:sz w:val="22"/>
          <w:szCs w:val="22"/>
        </w:rPr>
        <w:t>1.6</w:t>
      </w:r>
      <w:r w:rsidR="00B04342">
        <w:rPr>
          <w:b/>
          <w:sz w:val="22"/>
          <w:szCs w:val="22"/>
        </w:rPr>
        <w:t xml:space="preserve"> We have</w:t>
      </w:r>
      <w:r w:rsidR="003B75EF" w:rsidRPr="00435087">
        <w:rPr>
          <w:b/>
          <w:sz w:val="22"/>
          <w:szCs w:val="22"/>
        </w:rPr>
        <w:t xml:space="preserve"> developed locally an amended </w:t>
      </w:r>
      <w:r w:rsidR="00435087" w:rsidRPr="00435087">
        <w:rPr>
          <w:b/>
          <w:sz w:val="22"/>
          <w:szCs w:val="22"/>
        </w:rPr>
        <w:t xml:space="preserve">banded </w:t>
      </w:r>
      <w:r w:rsidR="003B75EF" w:rsidRPr="00435087">
        <w:rPr>
          <w:b/>
          <w:sz w:val="22"/>
          <w:szCs w:val="22"/>
        </w:rPr>
        <w:t>approach to the funding of the ‘top up’ element for EHCPs, which we propose to adopt from April 2020. If agreed, this new Banded Model will rep</w:t>
      </w:r>
      <w:r w:rsidR="00435087" w:rsidRPr="00435087">
        <w:rPr>
          <w:b/>
          <w:sz w:val="22"/>
          <w:szCs w:val="22"/>
        </w:rPr>
        <w:t>lace our existing Ranges Model</w:t>
      </w:r>
      <w:r w:rsidR="003B75EF" w:rsidRPr="00435087">
        <w:rPr>
          <w:b/>
          <w:sz w:val="22"/>
          <w:szCs w:val="22"/>
        </w:rPr>
        <w:t>.</w:t>
      </w:r>
    </w:p>
    <w:p w:rsidR="003B75EF" w:rsidRPr="00435087" w:rsidRDefault="003B75EF" w:rsidP="003B75EF">
      <w:pPr>
        <w:jc w:val="both"/>
        <w:rPr>
          <w:b/>
          <w:sz w:val="22"/>
          <w:szCs w:val="22"/>
        </w:rPr>
      </w:pPr>
    </w:p>
    <w:p w:rsidR="003B75EF" w:rsidRPr="00435087" w:rsidRDefault="003B75EF" w:rsidP="00F3262F">
      <w:pPr>
        <w:pStyle w:val="ListParagraph"/>
        <w:numPr>
          <w:ilvl w:val="0"/>
          <w:numId w:val="12"/>
        </w:numPr>
        <w:ind w:left="360"/>
        <w:jc w:val="both"/>
        <w:rPr>
          <w:b/>
          <w:sz w:val="22"/>
          <w:szCs w:val="22"/>
        </w:rPr>
      </w:pPr>
      <w:r w:rsidRPr="00435087">
        <w:rPr>
          <w:b/>
          <w:sz w:val="22"/>
          <w:szCs w:val="22"/>
        </w:rPr>
        <w:t xml:space="preserve">This change will affect the funding of all existing </w:t>
      </w:r>
      <w:r w:rsidR="000E2966">
        <w:rPr>
          <w:b/>
          <w:sz w:val="22"/>
          <w:szCs w:val="22"/>
        </w:rPr>
        <w:t xml:space="preserve">EHCPs </w:t>
      </w:r>
      <w:r w:rsidRPr="00435087">
        <w:rPr>
          <w:b/>
          <w:sz w:val="22"/>
          <w:szCs w:val="22"/>
        </w:rPr>
        <w:t>and new EHCPs</w:t>
      </w:r>
      <w:r w:rsidR="000E2966">
        <w:rPr>
          <w:b/>
          <w:sz w:val="22"/>
          <w:szCs w:val="22"/>
        </w:rPr>
        <w:t xml:space="preserve"> going forward</w:t>
      </w:r>
      <w:r w:rsidRPr="00435087">
        <w:rPr>
          <w:b/>
          <w:sz w:val="22"/>
          <w:szCs w:val="22"/>
        </w:rPr>
        <w:t xml:space="preserve"> in all settings, both mainstream and specialist.</w:t>
      </w:r>
    </w:p>
    <w:p w:rsidR="003B75EF" w:rsidRPr="00435087" w:rsidRDefault="003B75EF" w:rsidP="00F3262F">
      <w:pPr>
        <w:pStyle w:val="ListParagraph"/>
        <w:ind w:left="360"/>
        <w:jc w:val="both"/>
        <w:rPr>
          <w:b/>
          <w:sz w:val="22"/>
          <w:szCs w:val="22"/>
        </w:rPr>
      </w:pPr>
      <w:r w:rsidRPr="00435087">
        <w:rPr>
          <w:b/>
          <w:sz w:val="22"/>
          <w:szCs w:val="22"/>
        </w:rPr>
        <w:t xml:space="preserve"> </w:t>
      </w:r>
    </w:p>
    <w:p w:rsidR="003B75EF" w:rsidRPr="00435087" w:rsidRDefault="003B75EF" w:rsidP="00F3262F">
      <w:pPr>
        <w:pStyle w:val="ListParagraph"/>
        <w:numPr>
          <w:ilvl w:val="0"/>
          <w:numId w:val="12"/>
        </w:numPr>
        <w:ind w:left="360"/>
        <w:jc w:val="both"/>
        <w:rPr>
          <w:b/>
          <w:sz w:val="22"/>
          <w:szCs w:val="22"/>
        </w:rPr>
      </w:pPr>
      <w:r w:rsidRPr="00435087">
        <w:rPr>
          <w:b/>
          <w:sz w:val="22"/>
          <w:szCs w:val="22"/>
        </w:rPr>
        <w:t>It is our intention to use this new model as the vehicle through which to release to providers a significant proportion of the additional High Needs Block funding that is expected to be allocated to Bradford in 2020/21.</w:t>
      </w:r>
    </w:p>
    <w:p w:rsidR="003B75EF" w:rsidRPr="00435087" w:rsidRDefault="003B75EF" w:rsidP="00F3262F">
      <w:pPr>
        <w:pStyle w:val="ListParagraph"/>
        <w:ind w:left="360"/>
        <w:jc w:val="both"/>
        <w:rPr>
          <w:b/>
          <w:sz w:val="22"/>
          <w:szCs w:val="22"/>
        </w:rPr>
      </w:pPr>
    </w:p>
    <w:p w:rsidR="00F3262F" w:rsidRDefault="003B75EF" w:rsidP="00AC064E">
      <w:pPr>
        <w:pStyle w:val="ListParagraph"/>
        <w:numPr>
          <w:ilvl w:val="0"/>
          <w:numId w:val="12"/>
        </w:numPr>
        <w:ind w:left="360"/>
        <w:jc w:val="both"/>
        <w:rPr>
          <w:b/>
          <w:sz w:val="22"/>
          <w:szCs w:val="22"/>
        </w:rPr>
      </w:pPr>
      <w:r w:rsidRPr="00435087">
        <w:rPr>
          <w:b/>
          <w:sz w:val="22"/>
          <w:szCs w:val="22"/>
        </w:rPr>
        <w:t>The way that we propose to move to the new Banded Model at April 2020 means that all existing EHCPs will see uplift in funding. No existing EHCPs will reduce in value as a result of funding model change.</w:t>
      </w:r>
    </w:p>
    <w:p w:rsidR="006675AF" w:rsidRPr="008869EA" w:rsidRDefault="006675AF" w:rsidP="008869EA">
      <w:pPr>
        <w:jc w:val="both"/>
        <w:rPr>
          <w:b/>
          <w:sz w:val="22"/>
          <w:szCs w:val="22"/>
        </w:rPr>
      </w:pPr>
    </w:p>
    <w:p w:rsidR="006675AF" w:rsidRPr="00AC064E" w:rsidRDefault="006675AF" w:rsidP="00AC064E">
      <w:pPr>
        <w:pStyle w:val="ListParagraph"/>
        <w:ind w:left="360"/>
        <w:jc w:val="both"/>
        <w:rPr>
          <w:b/>
          <w:sz w:val="22"/>
          <w:szCs w:val="22"/>
        </w:rPr>
      </w:pPr>
    </w:p>
    <w:p w:rsidR="003B75EF" w:rsidRPr="00F3262F" w:rsidRDefault="00F3262F" w:rsidP="00F3262F">
      <w:pPr>
        <w:spacing w:after="200" w:line="276" w:lineRule="auto"/>
        <w:jc w:val="both"/>
        <w:rPr>
          <w:rFonts w:cs="Arial"/>
          <w:b/>
          <w:sz w:val="22"/>
          <w:szCs w:val="22"/>
          <w:u w:val="single"/>
        </w:rPr>
      </w:pPr>
      <w:r w:rsidRPr="00F3262F">
        <w:rPr>
          <w:rFonts w:cs="Arial"/>
          <w:b/>
          <w:sz w:val="22"/>
          <w:szCs w:val="22"/>
          <w:u w:val="single"/>
        </w:rPr>
        <w:t>The Proposed New Banded Model</w:t>
      </w:r>
    </w:p>
    <w:p w:rsidR="003B75EF" w:rsidRPr="00F3262F" w:rsidRDefault="00967573" w:rsidP="00F3262F">
      <w:pPr>
        <w:spacing w:after="200" w:line="276" w:lineRule="auto"/>
        <w:jc w:val="both"/>
        <w:rPr>
          <w:rFonts w:cs="Arial"/>
          <w:sz w:val="22"/>
          <w:szCs w:val="22"/>
        </w:rPr>
      </w:pPr>
      <w:r>
        <w:rPr>
          <w:rFonts w:cs="Arial"/>
          <w:sz w:val="22"/>
          <w:szCs w:val="22"/>
        </w:rPr>
        <w:t xml:space="preserve">2.1 </w:t>
      </w:r>
      <w:r w:rsidR="00B04342">
        <w:rPr>
          <w:rFonts w:cs="Arial"/>
          <w:sz w:val="22"/>
          <w:szCs w:val="22"/>
        </w:rPr>
        <w:t xml:space="preserve">The </w:t>
      </w:r>
      <w:r w:rsidR="00AC064E">
        <w:rPr>
          <w:rFonts w:cs="Arial"/>
          <w:sz w:val="22"/>
          <w:szCs w:val="22"/>
        </w:rPr>
        <w:t xml:space="preserve">proposed </w:t>
      </w:r>
      <w:r w:rsidR="00B04342">
        <w:rPr>
          <w:rFonts w:cs="Arial"/>
          <w:sz w:val="22"/>
          <w:szCs w:val="22"/>
        </w:rPr>
        <w:t xml:space="preserve">new model will use </w:t>
      </w:r>
      <w:r w:rsidR="006675AF">
        <w:rPr>
          <w:rFonts w:cs="Arial"/>
          <w:sz w:val="22"/>
          <w:szCs w:val="22"/>
        </w:rPr>
        <w:t>at its base</w:t>
      </w:r>
      <w:r w:rsidR="00C51158">
        <w:rPr>
          <w:rFonts w:cs="Arial"/>
          <w:sz w:val="22"/>
          <w:szCs w:val="22"/>
        </w:rPr>
        <w:t xml:space="preserve"> </w:t>
      </w:r>
      <w:r w:rsidR="00B04342">
        <w:rPr>
          <w:rFonts w:cs="Arial"/>
          <w:sz w:val="22"/>
          <w:szCs w:val="22"/>
        </w:rPr>
        <w:t>the</w:t>
      </w:r>
      <w:r w:rsidR="003B75EF" w:rsidRPr="00F3262F">
        <w:rPr>
          <w:rFonts w:cs="Arial"/>
          <w:sz w:val="22"/>
          <w:szCs w:val="22"/>
        </w:rPr>
        <w:t xml:space="preserve"> </w:t>
      </w:r>
      <w:hyperlink r:id="rId15" w:history="1">
        <w:r w:rsidR="003B75EF" w:rsidRPr="00CE0A5F">
          <w:rPr>
            <w:rStyle w:val="Hyperlink"/>
            <w:rFonts w:cs="Arial"/>
            <w:sz w:val="22"/>
            <w:szCs w:val="22"/>
          </w:rPr>
          <w:t>Bradford Matrix of Need</w:t>
        </w:r>
      </w:hyperlink>
      <w:r w:rsidR="00AC064E">
        <w:rPr>
          <w:rFonts w:cs="Arial"/>
          <w:sz w:val="22"/>
          <w:szCs w:val="22"/>
        </w:rPr>
        <w:t>,</w:t>
      </w:r>
      <w:r w:rsidR="00CE0A5F">
        <w:rPr>
          <w:rFonts w:cs="Arial"/>
          <w:sz w:val="22"/>
          <w:szCs w:val="22"/>
        </w:rPr>
        <w:t xml:space="preserve"> which outlines waves of</w:t>
      </w:r>
      <w:r w:rsidR="007D587E">
        <w:rPr>
          <w:rFonts w:cs="Arial"/>
          <w:sz w:val="22"/>
          <w:szCs w:val="22"/>
        </w:rPr>
        <w:t xml:space="preserve"> intervention</w:t>
      </w:r>
      <w:r w:rsidR="00AC064E">
        <w:rPr>
          <w:rFonts w:cs="Arial"/>
          <w:sz w:val="22"/>
          <w:szCs w:val="22"/>
        </w:rPr>
        <w:t>:</w:t>
      </w:r>
    </w:p>
    <w:p w:rsidR="003B75EF" w:rsidRPr="003B75EF" w:rsidRDefault="003B75EF" w:rsidP="003B75EF">
      <w:pPr>
        <w:pStyle w:val="ListParagraph"/>
        <w:numPr>
          <w:ilvl w:val="1"/>
          <w:numId w:val="17"/>
        </w:numPr>
        <w:spacing w:after="200" w:line="276" w:lineRule="auto"/>
        <w:jc w:val="both"/>
        <w:rPr>
          <w:rFonts w:cs="Arial"/>
          <w:sz w:val="22"/>
          <w:szCs w:val="22"/>
        </w:rPr>
      </w:pPr>
      <w:r w:rsidRPr="003B75EF">
        <w:rPr>
          <w:rFonts w:cs="Arial"/>
          <w:sz w:val="22"/>
          <w:szCs w:val="22"/>
        </w:rPr>
        <w:t>Band 1 (Quality First Teaching)</w:t>
      </w:r>
    </w:p>
    <w:p w:rsidR="003B75EF" w:rsidRPr="003B75EF" w:rsidRDefault="003B75EF" w:rsidP="003B75EF">
      <w:pPr>
        <w:pStyle w:val="ListParagraph"/>
        <w:numPr>
          <w:ilvl w:val="1"/>
          <w:numId w:val="17"/>
        </w:numPr>
        <w:spacing w:after="200" w:line="276" w:lineRule="auto"/>
        <w:jc w:val="both"/>
        <w:rPr>
          <w:rFonts w:cs="Arial"/>
          <w:sz w:val="22"/>
          <w:szCs w:val="22"/>
        </w:rPr>
      </w:pPr>
      <w:r w:rsidRPr="003B75EF">
        <w:rPr>
          <w:rFonts w:cs="Arial"/>
          <w:sz w:val="22"/>
          <w:szCs w:val="22"/>
        </w:rPr>
        <w:t>Band 2 (SEND Support)</w:t>
      </w:r>
      <w:r w:rsidR="00224C4E">
        <w:rPr>
          <w:rFonts w:cs="Arial"/>
          <w:sz w:val="22"/>
          <w:szCs w:val="22"/>
        </w:rPr>
        <w:t xml:space="preserve"> *</w:t>
      </w:r>
    </w:p>
    <w:p w:rsidR="003B75EF" w:rsidRPr="003B75EF" w:rsidRDefault="003B75EF" w:rsidP="003B75EF">
      <w:pPr>
        <w:pStyle w:val="ListParagraph"/>
        <w:numPr>
          <w:ilvl w:val="1"/>
          <w:numId w:val="17"/>
        </w:numPr>
        <w:spacing w:after="200" w:line="276" w:lineRule="auto"/>
        <w:jc w:val="both"/>
        <w:rPr>
          <w:rFonts w:cs="Arial"/>
          <w:sz w:val="22"/>
          <w:szCs w:val="22"/>
        </w:rPr>
      </w:pPr>
      <w:r w:rsidRPr="003B75EF">
        <w:rPr>
          <w:rFonts w:cs="Arial"/>
          <w:sz w:val="22"/>
          <w:szCs w:val="22"/>
        </w:rPr>
        <w:t>Band 3 (EHCP) – typically mainstream - this is the band at which element 3 EHCP funding begins</w:t>
      </w:r>
    </w:p>
    <w:p w:rsidR="003B75EF" w:rsidRPr="003B75EF" w:rsidRDefault="003B75EF" w:rsidP="003B75EF">
      <w:pPr>
        <w:pStyle w:val="ListParagraph"/>
        <w:numPr>
          <w:ilvl w:val="1"/>
          <w:numId w:val="17"/>
        </w:numPr>
        <w:spacing w:after="200" w:line="276" w:lineRule="auto"/>
        <w:jc w:val="both"/>
        <w:rPr>
          <w:rFonts w:cs="Arial"/>
          <w:sz w:val="22"/>
          <w:szCs w:val="22"/>
        </w:rPr>
      </w:pPr>
      <w:r w:rsidRPr="003B75EF">
        <w:rPr>
          <w:rFonts w:cs="Arial"/>
          <w:sz w:val="22"/>
          <w:szCs w:val="22"/>
        </w:rPr>
        <w:t>Band 4 (EHCP Plus) – typically specialist provision</w:t>
      </w:r>
    </w:p>
    <w:p w:rsidR="00224C4E" w:rsidRPr="00224C4E" w:rsidRDefault="00224C4E" w:rsidP="00CE0A5F">
      <w:pPr>
        <w:jc w:val="both"/>
        <w:rPr>
          <w:rFonts w:cs="Arial"/>
          <w:i/>
          <w:sz w:val="22"/>
          <w:szCs w:val="22"/>
        </w:rPr>
      </w:pPr>
      <w:r w:rsidRPr="00224C4E">
        <w:rPr>
          <w:rFonts w:cs="Arial"/>
          <w:sz w:val="22"/>
          <w:szCs w:val="22"/>
        </w:rPr>
        <w:t xml:space="preserve">* </w:t>
      </w:r>
      <w:r w:rsidRPr="00224C4E">
        <w:rPr>
          <w:rFonts w:cs="Arial"/>
          <w:i/>
          <w:sz w:val="22"/>
          <w:szCs w:val="22"/>
        </w:rPr>
        <w:t>Please note that t</w:t>
      </w:r>
      <w:r>
        <w:rPr>
          <w:rFonts w:cs="Arial"/>
          <w:i/>
          <w:sz w:val="22"/>
          <w:szCs w:val="22"/>
        </w:rPr>
        <w:t>he version of the Matrix currently on BSO (accessed via the link above) includes a Band 3 SEND Support Plus. The funding model does not include this band so, in the funding model, the EHCP band is numbered Band 3 not 4 and EHCP Plus is Band 4 not 5.</w:t>
      </w:r>
      <w:r w:rsidR="00633EF1">
        <w:rPr>
          <w:rFonts w:cs="Arial"/>
          <w:i/>
          <w:sz w:val="22"/>
          <w:szCs w:val="22"/>
        </w:rPr>
        <w:t xml:space="preserve"> This</w:t>
      </w:r>
      <w:r>
        <w:rPr>
          <w:rFonts w:cs="Arial"/>
          <w:i/>
          <w:sz w:val="22"/>
          <w:szCs w:val="22"/>
        </w:rPr>
        <w:t xml:space="preserve"> mapping</w:t>
      </w:r>
      <w:r w:rsidR="00633EF1">
        <w:rPr>
          <w:rFonts w:cs="Arial"/>
          <w:i/>
          <w:sz w:val="22"/>
          <w:szCs w:val="22"/>
        </w:rPr>
        <w:t xml:space="preserve"> difference</w:t>
      </w:r>
      <w:r>
        <w:rPr>
          <w:rFonts w:cs="Arial"/>
          <w:i/>
          <w:sz w:val="22"/>
          <w:szCs w:val="22"/>
        </w:rPr>
        <w:t xml:space="preserve"> is currently being looked at, meaning that either the Matrix will be adjusted to match the funding model or the numbering of the bands in the funding model will be adjusted to match the current Matrix. However, this does not affect how the funding model works – the funding model allocates EHCP top up funding only to the top two Bands</w:t>
      </w:r>
      <w:r w:rsidR="00633EF1">
        <w:rPr>
          <w:rFonts w:cs="Arial"/>
          <w:i/>
          <w:sz w:val="22"/>
          <w:szCs w:val="22"/>
        </w:rPr>
        <w:t xml:space="preserve"> ECHP and EHCP Plus</w:t>
      </w:r>
      <w:r>
        <w:rPr>
          <w:rFonts w:cs="Arial"/>
          <w:i/>
          <w:sz w:val="22"/>
          <w:szCs w:val="22"/>
        </w:rPr>
        <w:t xml:space="preserve">. </w:t>
      </w:r>
    </w:p>
    <w:p w:rsidR="0041486C" w:rsidRDefault="0041486C" w:rsidP="00CE0A5F">
      <w:pPr>
        <w:jc w:val="both"/>
        <w:rPr>
          <w:rFonts w:cs="Arial"/>
          <w:sz w:val="22"/>
          <w:szCs w:val="22"/>
        </w:rPr>
      </w:pPr>
    </w:p>
    <w:p w:rsidR="003B75EF" w:rsidRDefault="00CE0A5F" w:rsidP="00CE0A5F">
      <w:pPr>
        <w:jc w:val="both"/>
        <w:rPr>
          <w:rFonts w:cs="Arial"/>
          <w:sz w:val="22"/>
          <w:szCs w:val="22"/>
        </w:rPr>
      </w:pPr>
      <w:r>
        <w:rPr>
          <w:rFonts w:cs="Arial"/>
          <w:sz w:val="22"/>
          <w:szCs w:val="22"/>
        </w:rPr>
        <w:t>This Matrix identifies the responsibilities of schools and providers in their use of already delegated funds</w:t>
      </w:r>
      <w:r w:rsidR="000E2966">
        <w:rPr>
          <w:rFonts w:cs="Arial"/>
          <w:sz w:val="22"/>
          <w:szCs w:val="22"/>
        </w:rPr>
        <w:t xml:space="preserve"> in meeting</w:t>
      </w:r>
      <w:r w:rsidR="0041486C">
        <w:rPr>
          <w:rFonts w:cs="Arial"/>
          <w:sz w:val="22"/>
          <w:szCs w:val="22"/>
        </w:rPr>
        <w:t xml:space="preserve"> the cost of support up to Band </w:t>
      </w:r>
      <w:r w:rsidR="000E2966">
        <w:rPr>
          <w:rFonts w:cs="Arial"/>
          <w:sz w:val="22"/>
          <w:szCs w:val="22"/>
        </w:rPr>
        <w:t>3. It then identifies t</w:t>
      </w:r>
      <w:r w:rsidR="000A6DBF">
        <w:rPr>
          <w:rFonts w:cs="Arial"/>
          <w:sz w:val="22"/>
          <w:szCs w:val="22"/>
        </w:rPr>
        <w:t>he point at which</w:t>
      </w:r>
      <w:r w:rsidR="000E2966">
        <w:rPr>
          <w:rFonts w:cs="Arial"/>
          <w:sz w:val="22"/>
          <w:szCs w:val="22"/>
        </w:rPr>
        <w:t xml:space="preserve"> </w:t>
      </w:r>
      <w:r w:rsidR="0041486C">
        <w:rPr>
          <w:rFonts w:cs="Arial"/>
          <w:sz w:val="22"/>
          <w:szCs w:val="22"/>
        </w:rPr>
        <w:t>top up f</w:t>
      </w:r>
      <w:r w:rsidR="00390086">
        <w:rPr>
          <w:rFonts w:cs="Arial"/>
          <w:sz w:val="22"/>
          <w:szCs w:val="22"/>
        </w:rPr>
        <w:t>unding will begin in our model, which is EHCP Band 3</w:t>
      </w:r>
      <w:r w:rsidR="0041486C">
        <w:rPr>
          <w:rFonts w:cs="Arial"/>
          <w:sz w:val="22"/>
          <w:szCs w:val="22"/>
        </w:rPr>
        <w:t>.</w:t>
      </w:r>
      <w:r w:rsidR="000E2966">
        <w:rPr>
          <w:rFonts w:cs="Arial"/>
          <w:sz w:val="22"/>
          <w:szCs w:val="22"/>
        </w:rPr>
        <w:t xml:space="preserve"> </w:t>
      </w:r>
    </w:p>
    <w:p w:rsidR="00CE0A5F" w:rsidRPr="00CE0A5F" w:rsidRDefault="00CE0A5F" w:rsidP="00CE0A5F">
      <w:pPr>
        <w:jc w:val="both"/>
        <w:rPr>
          <w:rFonts w:cs="Arial"/>
          <w:sz w:val="22"/>
          <w:szCs w:val="22"/>
        </w:rPr>
      </w:pPr>
    </w:p>
    <w:p w:rsidR="000039A4" w:rsidRDefault="00623C6E" w:rsidP="00EC42D8">
      <w:pPr>
        <w:spacing w:after="200" w:line="276" w:lineRule="auto"/>
        <w:jc w:val="both"/>
        <w:rPr>
          <w:rFonts w:cs="Arial"/>
          <w:sz w:val="22"/>
          <w:szCs w:val="22"/>
        </w:rPr>
      </w:pPr>
      <w:r>
        <w:rPr>
          <w:rFonts w:cs="Arial"/>
          <w:sz w:val="22"/>
          <w:szCs w:val="22"/>
        </w:rPr>
        <w:t xml:space="preserve">2.2 </w:t>
      </w:r>
      <w:r w:rsidR="000E2966">
        <w:rPr>
          <w:rFonts w:cs="Arial"/>
          <w:sz w:val="22"/>
          <w:szCs w:val="22"/>
        </w:rPr>
        <w:t>Whereas our current Ranges Model has 7 Ranges with 7 funding steps, our</w:t>
      </w:r>
      <w:r>
        <w:rPr>
          <w:rFonts w:cs="Arial"/>
          <w:sz w:val="22"/>
          <w:szCs w:val="22"/>
        </w:rPr>
        <w:t xml:space="preserve"> proposed new Banded Model has 6 bands and 6 </w:t>
      </w:r>
      <w:r w:rsidR="00F40218">
        <w:rPr>
          <w:rFonts w:cs="Arial"/>
          <w:sz w:val="22"/>
          <w:szCs w:val="22"/>
        </w:rPr>
        <w:t>funding steps</w:t>
      </w:r>
      <w:r w:rsidR="00DF0E19">
        <w:rPr>
          <w:rFonts w:cs="Arial"/>
          <w:sz w:val="22"/>
          <w:szCs w:val="22"/>
        </w:rPr>
        <w:t>, with values for 1</w:t>
      </w:r>
      <w:r w:rsidR="000F4635">
        <w:rPr>
          <w:rFonts w:cs="Arial"/>
          <w:sz w:val="22"/>
          <w:szCs w:val="22"/>
        </w:rPr>
        <w:t xml:space="preserve"> April 2020 proposed as set out in the ta</w:t>
      </w:r>
      <w:r w:rsidR="0043067C">
        <w:rPr>
          <w:rFonts w:cs="Arial"/>
          <w:sz w:val="22"/>
          <w:szCs w:val="22"/>
        </w:rPr>
        <w:t>b</w:t>
      </w:r>
      <w:r w:rsidR="000F4635">
        <w:rPr>
          <w:rFonts w:cs="Arial"/>
          <w:sz w:val="22"/>
          <w:szCs w:val="22"/>
        </w:rPr>
        <w:t>le below. This table shows the proposed value of top up by band</w:t>
      </w:r>
      <w:r w:rsidR="00F40218">
        <w:rPr>
          <w:rFonts w:cs="Arial"/>
          <w:sz w:val="22"/>
          <w:szCs w:val="22"/>
        </w:rPr>
        <w:t xml:space="preserve"> and</w:t>
      </w:r>
      <w:r w:rsidR="000F4635">
        <w:rPr>
          <w:rFonts w:cs="Arial"/>
          <w:sz w:val="22"/>
          <w:szCs w:val="22"/>
        </w:rPr>
        <w:t xml:space="preserve"> the value of element 2 contribution, which schools and provider</w:t>
      </w:r>
      <w:r w:rsidR="00F40218">
        <w:rPr>
          <w:rFonts w:cs="Arial"/>
          <w:sz w:val="22"/>
          <w:szCs w:val="22"/>
        </w:rPr>
        <w:t xml:space="preserve">s will add to the top up </w:t>
      </w:r>
      <w:r w:rsidR="0043067C">
        <w:rPr>
          <w:rFonts w:cs="Arial"/>
          <w:sz w:val="22"/>
          <w:szCs w:val="22"/>
        </w:rPr>
        <w:t xml:space="preserve">from their budgets </w:t>
      </w:r>
      <w:r w:rsidR="00F40218">
        <w:rPr>
          <w:rFonts w:cs="Arial"/>
          <w:sz w:val="22"/>
          <w:szCs w:val="22"/>
        </w:rPr>
        <w:t>to</w:t>
      </w:r>
      <w:r w:rsidR="000F4635">
        <w:rPr>
          <w:rFonts w:cs="Arial"/>
          <w:sz w:val="22"/>
          <w:szCs w:val="22"/>
        </w:rPr>
        <w:t xml:space="preserve"> produce the total value of funding available for supporting the costs of an EHCP.</w:t>
      </w:r>
    </w:p>
    <w:p w:rsidR="000F4635" w:rsidRDefault="00390086" w:rsidP="00EC42D8">
      <w:pPr>
        <w:spacing w:after="200" w:line="276" w:lineRule="auto"/>
        <w:jc w:val="both"/>
        <w:rPr>
          <w:rFonts w:cs="Arial"/>
          <w:sz w:val="22"/>
          <w:szCs w:val="22"/>
        </w:rPr>
      </w:pPr>
      <w:r>
        <w:rPr>
          <w:rFonts w:cs="Arial"/>
          <w:sz w:val="22"/>
          <w:szCs w:val="22"/>
        </w:rPr>
        <w:t>In all steps within the model</w:t>
      </w:r>
      <w:r w:rsidR="000F4635">
        <w:rPr>
          <w:rFonts w:cs="Arial"/>
          <w:sz w:val="22"/>
          <w:szCs w:val="22"/>
        </w:rPr>
        <w:t xml:space="preserve"> </w:t>
      </w:r>
      <w:r w:rsidR="000F4635" w:rsidRPr="000F4635">
        <w:rPr>
          <w:rFonts w:cs="Arial"/>
          <w:sz w:val="22"/>
          <w:szCs w:val="22"/>
        </w:rPr>
        <w:t xml:space="preserve"> the school / provider, with the excepti</w:t>
      </w:r>
      <w:r w:rsidR="000F4635">
        <w:rPr>
          <w:rFonts w:cs="Arial"/>
          <w:sz w:val="22"/>
          <w:szCs w:val="22"/>
        </w:rPr>
        <w:t>on of EHCPs for 2, 3 and 4 year</w:t>
      </w:r>
      <w:r w:rsidR="000F4635" w:rsidRPr="000F4635">
        <w:rPr>
          <w:rFonts w:cs="Arial"/>
          <w:sz w:val="22"/>
          <w:szCs w:val="22"/>
        </w:rPr>
        <w:t xml:space="preserve"> olds (</w:t>
      </w:r>
      <w:r w:rsidR="000F4635">
        <w:rPr>
          <w:rFonts w:cs="Arial"/>
          <w:sz w:val="22"/>
          <w:szCs w:val="22"/>
        </w:rPr>
        <w:t xml:space="preserve">in </w:t>
      </w:r>
      <w:r w:rsidR="000F4635" w:rsidRPr="000F4635">
        <w:rPr>
          <w:rFonts w:cs="Arial"/>
          <w:sz w:val="22"/>
          <w:szCs w:val="22"/>
        </w:rPr>
        <w:t>pre-reception)</w:t>
      </w:r>
      <w:r w:rsidR="008553CE">
        <w:rPr>
          <w:rFonts w:cs="Arial"/>
          <w:sz w:val="22"/>
          <w:szCs w:val="22"/>
        </w:rPr>
        <w:t xml:space="preserve"> in mainstream not specialist provision</w:t>
      </w:r>
      <w:r w:rsidR="000F4635" w:rsidRPr="000F4635">
        <w:rPr>
          <w:rFonts w:cs="Arial"/>
          <w:sz w:val="22"/>
          <w:szCs w:val="22"/>
        </w:rPr>
        <w:t>, is expected to contribute element 2 funding</w:t>
      </w:r>
      <w:r w:rsidR="0043067C">
        <w:rPr>
          <w:rFonts w:cs="Arial"/>
          <w:sz w:val="22"/>
          <w:szCs w:val="22"/>
        </w:rPr>
        <w:t>,</w:t>
      </w:r>
      <w:r w:rsidR="000F4635" w:rsidRPr="000F4635">
        <w:rPr>
          <w:rFonts w:cs="Arial"/>
          <w:sz w:val="22"/>
          <w:szCs w:val="22"/>
        </w:rPr>
        <w:t xml:space="preserve"> currently at a value of £6,000</w:t>
      </w:r>
      <w:r w:rsidR="00F40218">
        <w:rPr>
          <w:rFonts w:cs="Arial"/>
          <w:sz w:val="22"/>
          <w:szCs w:val="22"/>
        </w:rPr>
        <w:t xml:space="preserve"> per 1 FTE</w:t>
      </w:r>
      <w:r w:rsidR="0043067C">
        <w:rPr>
          <w:rFonts w:cs="Arial"/>
          <w:sz w:val="22"/>
          <w:szCs w:val="22"/>
        </w:rPr>
        <w:t>,</w:t>
      </w:r>
      <w:r w:rsidR="000F4635" w:rsidRPr="000F4635">
        <w:rPr>
          <w:rFonts w:cs="Arial"/>
          <w:sz w:val="22"/>
          <w:szCs w:val="22"/>
        </w:rPr>
        <w:t xml:space="preserve"> to the cost of</w:t>
      </w:r>
      <w:r w:rsidR="000F4635">
        <w:rPr>
          <w:rFonts w:cs="Arial"/>
          <w:sz w:val="22"/>
          <w:szCs w:val="22"/>
        </w:rPr>
        <w:t xml:space="preserve"> the</w:t>
      </w:r>
      <w:r w:rsidR="000F4635" w:rsidRPr="000F4635">
        <w:rPr>
          <w:rFonts w:cs="Arial"/>
          <w:sz w:val="22"/>
          <w:szCs w:val="22"/>
        </w:rPr>
        <w:t xml:space="preserve"> additional needs</w:t>
      </w:r>
      <w:r w:rsidR="000F4635">
        <w:rPr>
          <w:rFonts w:cs="Arial"/>
          <w:sz w:val="22"/>
          <w:szCs w:val="22"/>
        </w:rPr>
        <w:t xml:space="preserve"> set out in the EHCP</w:t>
      </w:r>
      <w:r w:rsidR="000F4635" w:rsidRPr="000F4635">
        <w:rPr>
          <w:rFonts w:cs="Arial"/>
          <w:sz w:val="22"/>
          <w:szCs w:val="22"/>
        </w:rPr>
        <w:t>.</w:t>
      </w:r>
      <w:r w:rsidR="000F4635">
        <w:rPr>
          <w:rFonts w:cs="Arial"/>
          <w:sz w:val="22"/>
          <w:szCs w:val="22"/>
        </w:rPr>
        <w:t xml:space="preserve"> For EHCPs for 2,</w:t>
      </w:r>
      <w:r w:rsidR="00B76B7C">
        <w:rPr>
          <w:rFonts w:cs="Arial"/>
          <w:sz w:val="22"/>
          <w:szCs w:val="22"/>
        </w:rPr>
        <w:t xml:space="preserve"> </w:t>
      </w:r>
      <w:r w:rsidR="000F4635">
        <w:rPr>
          <w:rFonts w:cs="Arial"/>
          <w:sz w:val="22"/>
          <w:szCs w:val="22"/>
        </w:rPr>
        <w:t>3 and 4 year olds (in pre-reception)</w:t>
      </w:r>
      <w:r w:rsidR="00724228">
        <w:rPr>
          <w:rFonts w:cs="Arial"/>
          <w:sz w:val="22"/>
          <w:szCs w:val="22"/>
        </w:rPr>
        <w:t xml:space="preserve"> in mainstream</w:t>
      </w:r>
      <w:r w:rsidR="008553CE">
        <w:rPr>
          <w:rFonts w:cs="Arial"/>
          <w:sz w:val="22"/>
          <w:szCs w:val="22"/>
        </w:rPr>
        <w:t xml:space="preserve"> not specialist provision</w:t>
      </w:r>
      <w:r w:rsidR="000F4635">
        <w:rPr>
          <w:rFonts w:cs="Arial"/>
          <w:sz w:val="22"/>
          <w:szCs w:val="22"/>
        </w:rPr>
        <w:t>, that are</w:t>
      </w:r>
      <w:r w:rsidR="00FA26BB">
        <w:rPr>
          <w:rFonts w:cs="Arial"/>
          <w:sz w:val="22"/>
          <w:szCs w:val="22"/>
        </w:rPr>
        <w:t xml:space="preserve"> only</w:t>
      </w:r>
      <w:r w:rsidR="000F4635">
        <w:rPr>
          <w:rFonts w:cs="Arial"/>
          <w:sz w:val="22"/>
          <w:szCs w:val="22"/>
        </w:rPr>
        <w:t xml:space="preserve"> funded through the Early Years Single Funding Formula (EYSFF), because the EYSFF does not allocate element 2 funding, element 2 </w:t>
      </w:r>
      <w:r w:rsidR="0043067C">
        <w:rPr>
          <w:rFonts w:cs="Arial"/>
          <w:sz w:val="22"/>
          <w:szCs w:val="22"/>
        </w:rPr>
        <w:t>is</w:t>
      </w:r>
      <w:r w:rsidR="000F4635">
        <w:rPr>
          <w:rFonts w:cs="Arial"/>
          <w:sz w:val="22"/>
          <w:szCs w:val="22"/>
        </w:rPr>
        <w:t xml:space="preserve"> allocated</w:t>
      </w:r>
      <w:r w:rsidR="006C68CF">
        <w:rPr>
          <w:rFonts w:cs="Arial"/>
          <w:sz w:val="22"/>
          <w:szCs w:val="22"/>
        </w:rPr>
        <w:t xml:space="preserve"> on an FTE basis</w:t>
      </w:r>
      <w:r w:rsidR="000F4635">
        <w:rPr>
          <w:rFonts w:cs="Arial"/>
          <w:sz w:val="22"/>
          <w:szCs w:val="22"/>
        </w:rPr>
        <w:t xml:space="preserve"> in addition to the top up value for these EHCPs until these children enter reception</w:t>
      </w:r>
      <w:r w:rsidR="00724228">
        <w:rPr>
          <w:rFonts w:cs="Arial"/>
          <w:sz w:val="22"/>
          <w:szCs w:val="22"/>
        </w:rPr>
        <w:t xml:space="preserve"> year. This </w:t>
      </w:r>
      <w:r w:rsidR="008553CE">
        <w:rPr>
          <w:rFonts w:cs="Arial"/>
          <w:sz w:val="22"/>
          <w:szCs w:val="22"/>
        </w:rPr>
        <w:t xml:space="preserve">addition </w:t>
      </w:r>
      <w:r w:rsidR="00724228">
        <w:rPr>
          <w:rFonts w:cs="Arial"/>
          <w:sz w:val="22"/>
          <w:szCs w:val="22"/>
        </w:rPr>
        <w:t>does not apply to early years children that are placed in special schools or in resourced provision</w:t>
      </w:r>
      <w:r w:rsidR="008553CE">
        <w:rPr>
          <w:rFonts w:cs="Arial"/>
          <w:sz w:val="22"/>
          <w:szCs w:val="22"/>
        </w:rPr>
        <w:t>s</w:t>
      </w:r>
      <w:r w:rsidR="00FA26BB">
        <w:rPr>
          <w:rFonts w:cs="Arial"/>
          <w:sz w:val="22"/>
          <w:szCs w:val="22"/>
        </w:rPr>
        <w:t xml:space="preserve"> as</w:t>
      </w:r>
      <w:r w:rsidR="00724228">
        <w:rPr>
          <w:rFonts w:cs="Arial"/>
          <w:sz w:val="22"/>
          <w:szCs w:val="22"/>
        </w:rPr>
        <w:t xml:space="preserve"> these</w:t>
      </w:r>
      <w:r w:rsidR="008553CE">
        <w:rPr>
          <w:rFonts w:cs="Arial"/>
          <w:sz w:val="22"/>
          <w:szCs w:val="22"/>
        </w:rPr>
        <w:t xml:space="preserve"> provisions</w:t>
      </w:r>
      <w:r w:rsidR="00724228">
        <w:rPr>
          <w:rFonts w:cs="Arial"/>
          <w:sz w:val="22"/>
          <w:szCs w:val="22"/>
        </w:rPr>
        <w:t xml:space="preserve"> are funded on a place-led basis, which includes element 2.</w:t>
      </w:r>
    </w:p>
    <w:tbl>
      <w:tblPr>
        <w:tblStyle w:val="TableGrid"/>
        <w:tblW w:w="0" w:type="auto"/>
        <w:tblLook w:val="04A0" w:firstRow="1" w:lastRow="0" w:firstColumn="1" w:lastColumn="0" w:noHBand="0" w:noVBand="1"/>
      </w:tblPr>
      <w:tblGrid>
        <w:gridCol w:w="2718"/>
        <w:gridCol w:w="2718"/>
        <w:gridCol w:w="2719"/>
        <w:gridCol w:w="2719"/>
      </w:tblGrid>
      <w:tr w:rsidR="000E2966" w:rsidTr="000E2966">
        <w:tc>
          <w:tcPr>
            <w:tcW w:w="2718" w:type="dxa"/>
          </w:tcPr>
          <w:p w:rsidR="000E2966" w:rsidRPr="000F4635" w:rsidRDefault="000E2966" w:rsidP="000F4635">
            <w:pPr>
              <w:spacing w:after="200" w:line="276" w:lineRule="auto"/>
              <w:rPr>
                <w:rFonts w:cs="Arial"/>
                <w:b/>
                <w:sz w:val="22"/>
                <w:szCs w:val="22"/>
              </w:rPr>
            </w:pPr>
          </w:p>
        </w:tc>
        <w:tc>
          <w:tcPr>
            <w:tcW w:w="2718" w:type="dxa"/>
          </w:tcPr>
          <w:p w:rsidR="000E2966" w:rsidRPr="000F4635" w:rsidRDefault="000E2966" w:rsidP="000F4635">
            <w:pPr>
              <w:spacing w:after="200" w:line="276" w:lineRule="auto"/>
              <w:jc w:val="right"/>
              <w:rPr>
                <w:rFonts w:cs="Arial"/>
                <w:b/>
                <w:sz w:val="22"/>
                <w:szCs w:val="22"/>
              </w:rPr>
            </w:pPr>
            <w:r w:rsidRPr="000F4635">
              <w:rPr>
                <w:rFonts w:cs="Arial"/>
                <w:b/>
                <w:sz w:val="22"/>
                <w:szCs w:val="22"/>
              </w:rPr>
              <w:t>Proposed Top Up Value</w:t>
            </w:r>
            <w:r w:rsidR="00712C24">
              <w:rPr>
                <w:rFonts w:cs="Arial"/>
                <w:b/>
                <w:sz w:val="22"/>
                <w:szCs w:val="22"/>
              </w:rPr>
              <w:t xml:space="preserve"> at </w:t>
            </w:r>
            <w:r w:rsidRPr="000F4635">
              <w:rPr>
                <w:rFonts w:cs="Arial"/>
                <w:b/>
                <w:sz w:val="22"/>
                <w:szCs w:val="22"/>
              </w:rPr>
              <w:t xml:space="preserve"> April 2020</w:t>
            </w:r>
          </w:p>
        </w:tc>
        <w:tc>
          <w:tcPr>
            <w:tcW w:w="2719" w:type="dxa"/>
          </w:tcPr>
          <w:p w:rsidR="000E2966" w:rsidRPr="000F4635" w:rsidRDefault="000E2966" w:rsidP="00712C24">
            <w:pPr>
              <w:spacing w:after="200" w:line="276" w:lineRule="auto"/>
              <w:jc w:val="right"/>
              <w:rPr>
                <w:rFonts w:cs="Arial"/>
                <w:b/>
                <w:sz w:val="22"/>
                <w:szCs w:val="22"/>
              </w:rPr>
            </w:pPr>
            <w:r w:rsidRPr="000F4635">
              <w:rPr>
                <w:rFonts w:cs="Arial"/>
                <w:b/>
                <w:sz w:val="22"/>
                <w:szCs w:val="22"/>
              </w:rPr>
              <w:t>Element 2 Value</w:t>
            </w:r>
            <w:r w:rsidR="00B76B7C">
              <w:rPr>
                <w:rFonts w:cs="Arial"/>
                <w:b/>
                <w:sz w:val="22"/>
                <w:szCs w:val="22"/>
              </w:rPr>
              <w:t xml:space="preserve"> FTE</w:t>
            </w:r>
            <w:r w:rsidR="00712C24">
              <w:rPr>
                <w:rFonts w:cs="Arial"/>
                <w:b/>
                <w:sz w:val="22"/>
                <w:szCs w:val="22"/>
              </w:rPr>
              <w:t xml:space="preserve"> the school / provider adds</w:t>
            </w:r>
          </w:p>
        </w:tc>
        <w:tc>
          <w:tcPr>
            <w:tcW w:w="2719" w:type="dxa"/>
          </w:tcPr>
          <w:p w:rsidR="000E2966" w:rsidRPr="000F4635" w:rsidRDefault="000F4635" w:rsidP="000F4635">
            <w:pPr>
              <w:spacing w:after="200" w:line="276" w:lineRule="auto"/>
              <w:jc w:val="right"/>
              <w:rPr>
                <w:rFonts w:cs="Arial"/>
                <w:b/>
                <w:sz w:val="22"/>
                <w:szCs w:val="22"/>
              </w:rPr>
            </w:pPr>
            <w:r w:rsidRPr="000F4635">
              <w:rPr>
                <w:rFonts w:cs="Arial"/>
                <w:b/>
                <w:sz w:val="22"/>
                <w:szCs w:val="22"/>
              </w:rPr>
              <w:t>Total Value of Funding</w:t>
            </w:r>
            <w:r w:rsidR="00712C24">
              <w:rPr>
                <w:rFonts w:cs="Arial"/>
                <w:b/>
                <w:sz w:val="22"/>
                <w:szCs w:val="22"/>
              </w:rPr>
              <w:t xml:space="preserve"> to support the EHCP</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Low (3L)</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£1,670</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£7,670</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Medium (3M)</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£3,347</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£9,347</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3 High (3H)</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£4,974</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£10,974</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Low (4L)</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£7,747</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£13,747</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Medium (4M)</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£11,296</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£17,296</w:t>
            </w:r>
          </w:p>
        </w:tc>
      </w:tr>
      <w:tr w:rsidR="001E49A2" w:rsidTr="000E2966">
        <w:tc>
          <w:tcPr>
            <w:tcW w:w="2718" w:type="dxa"/>
          </w:tcPr>
          <w:p w:rsidR="001E49A2" w:rsidRPr="000F4635" w:rsidRDefault="001E49A2" w:rsidP="000F4635">
            <w:pPr>
              <w:spacing w:after="200" w:line="276" w:lineRule="auto"/>
              <w:rPr>
                <w:rFonts w:cs="Arial"/>
                <w:b/>
                <w:sz w:val="22"/>
                <w:szCs w:val="22"/>
              </w:rPr>
            </w:pPr>
            <w:r w:rsidRPr="000F4635">
              <w:rPr>
                <w:rFonts w:cs="Arial"/>
                <w:b/>
                <w:sz w:val="22"/>
                <w:szCs w:val="22"/>
              </w:rPr>
              <w:t>Band 4 High (4H)</w:t>
            </w:r>
          </w:p>
        </w:tc>
        <w:tc>
          <w:tcPr>
            <w:tcW w:w="2718" w:type="dxa"/>
          </w:tcPr>
          <w:p w:rsidR="001E49A2" w:rsidRPr="00712C24" w:rsidRDefault="001E49A2" w:rsidP="00C64DE9">
            <w:pPr>
              <w:pStyle w:val="ListParagraph"/>
              <w:ind w:left="0"/>
              <w:jc w:val="right"/>
              <w:rPr>
                <w:rFonts w:cs="Arial"/>
                <w:b/>
                <w:sz w:val="22"/>
                <w:szCs w:val="22"/>
              </w:rPr>
            </w:pPr>
            <w:r w:rsidRPr="00712C24">
              <w:rPr>
                <w:rFonts w:cs="Arial"/>
                <w:b/>
                <w:sz w:val="22"/>
                <w:szCs w:val="22"/>
              </w:rPr>
              <w:t>£15,051</w:t>
            </w:r>
          </w:p>
        </w:tc>
        <w:tc>
          <w:tcPr>
            <w:tcW w:w="2719" w:type="dxa"/>
          </w:tcPr>
          <w:p w:rsidR="001E49A2" w:rsidRDefault="001E49A2" w:rsidP="000F4635">
            <w:pPr>
              <w:spacing w:after="200" w:line="276" w:lineRule="auto"/>
              <w:jc w:val="right"/>
              <w:rPr>
                <w:rFonts w:cs="Arial"/>
                <w:sz w:val="22"/>
                <w:szCs w:val="22"/>
              </w:rPr>
            </w:pPr>
            <w:r>
              <w:rPr>
                <w:rFonts w:cs="Arial"/>
                <w:sz w:val="22"/>
                <w:szCs w:val="22"/>
              </w:rPr>
              <w:t>£6,000</w:t>
            </w:r>
          </w:p>
        </w:tc>
        <w:tc>
          <w:tcPr>
            <w:tcW w:w="2719" w:type="dxa"/>
          </w:tcPr>
          <w:p w:rsidR="001E49A2" w:rsidRDefault="00FB2A39" w:rsidP="000F4635">
            <w:pPr>
              <w:spacing w:after="200" w:line="276" w:lineRule="auto"/>
              <w:jc w:val="right"/>
              <w:rPr>
                <w:rFonts w:cs="Arial"/>
                <w:sz w:val="22"/>
                <w:szCs w:val="22"/>
              </w:rPr>
            </w:pPr>
            <w:r>
              <w:rPr>
                <w:rFonts w:cs="Arial"/>
                <w:sz w:val="22"/>
                <w:szCs w:val="22"/>
              </w:rPr>
              <w:t>£21,051</w:t>
            </w:r>
          </w:p>
        </w:tc>
      </w:tr>
    </w:tbl>
    <w:p w:rsidR="000B5D1C" w:rsidRDefault="000B5D1C" w:rsidP="000B5D1C">
      <w:pPr>
        <w:spacing w:after="200" w:line="276" w:lineRule="auto"/>
        <w:jc w:val="both"/>
        <w:rPr>
          <w:rFonts w:cs="Arial"/>
          <w:sz w:val="22"/>
          <w:szCs w:val="22"/>
        </w:rPr>
      </w:pPr>
    </w:p>
    <w:p w:rsidR="000B5D1C" w:rsidRDefault="000B5D1C" w:rsidP="000B5D1C">
      <w:pPr>
        <w:spacing w:after="200" w:line="276" w:lineRule="auto"/>
        <w:jc w:val="both"/>
        <w:rPr>
          <w:rFonts w:cs="Arial"/>
          <w:sz w:val="22"/>
          <w:szCs w:val="22"/>
        </w:rPr>
      </w:pPr>
      <w:r>
        <w:rPr>
          <w:rFonts w:cs="Arial"/>
          <w:sz w:val="22"/>
          <w:szCs w:val="22"/>
        </w:rPr>
        <w:t xml:space="preserve">The new model </w:t>
      </w:r>
      <w:r w:rsidR="00705526">
        <w:rPr>
          <w:rFonts w:cs="Arial"/>
          <w:sz w:val="22"/>
          <w:szCs w:val="22"/>
        </w:rPr>
        <w:t>is calculated on a</w:t>
      </w:r>
      <w:r>
        <w:rPr>
          <w:rFonts w:cs="Arial"/>
          <w:sz w:val="22"/>
          <w:szCs w:val="22"/>
        </w:rPr>
        <w:t xml:space="preserve"> provision-mapping</w:t>
      </w:r>
      <w:r w:rsidR="00705526">
        <w:rPr>
          <w:rFonts w:cs="Arial"/>
          <w:sz w:val="22"/>
          <w:szCs w:val="22"/>
        </w:rPr>
        <w:t xml:space="preserve"> approach</w:t>
      </w:r>
      <w:r>
        <w:rPr>
          <w:rFonts w:cs="Arial"/>
          <w:sz w:val="22"/>
          <w:szCs w:val="22"/>
        </w:rPr>
        <w:t xml:space="preserve">. </w:t>
      </w:r>
      <w:r w:rsidR="00705526">
        <w:rPr>
          <w:rFonts w:cs="Arial"/>
          <w:sz w:val="22"/>
          <w:szCs w:val="22"/>
        </w:rPr>
        <w:t xml:space="preserve">The </w:t>
      </w:r>
      <w:r w:rsidR="004B3F7B">
        <w:rPr>
          <w:rFonts w:cs="Arial"/>
          <w:sz w:val="22"/>
          <w:szCs w:val="22"/>
        </w:rPr>
        <w:t xml:space="preserve">additional educational </w:t>
      </w:r>
      <w:r w:rsidR="00705526">
        <w:rPr>
          <w:rFonts w:cs="Arial"/>
          <w:sz w:val="22"/>
          <w:szCs w:val="22"/>
        </w:rPr>
        <w:t>needs of a child with an EHCP typically will be met through additional adult contact time. Typically this will be delivered in a combination of individual</w:t>
      </w:r>
      <w:r w:rsidR="002869A7">
        <w:rPr>
          <w:rFonts w:cs="Arial"/>
          <w:sz w:val="22"/>
          <w:szCs w:val="22"/>
        </w:rPr>
        <w:t xml:space="preserve"> time and time in</w:t>
      </w:r>
      <w:r w:rsidR="00705526">
        <w:rPr>
          <w:rFonts w:cs="Arial"/>
          <w:sz w:val="22"/>
          <w:szCs w:val="22"/>
        </w:rPr>
        <w:t xml:space="preserve"> smaller groups. The </w:t>
      </w:r>
      <w:r w:rsidR="006C68CF">
        <w:rPr>
          <w:rFonts w:cs="Arial"/>
          <w:sz w:val="22"/>
          <w:szCs w:val="22"/>
        </w:rPr>
        <w:t xml:space="preserve">overall </w:t>
      </w:r>
      <w:r w:rsidR="00705526">
        <w:rPr>
          <w:rFonts w:cs="Arial"/>
          <w:sz w:val="22"/>
          <w:szCs w:val="22"/>
        </w:rPr>
        <w:t xml:space="preserve">volume of time will increase as needs increase and the proportion of this time that is delivered </w:t>
      </w:r>
      <w:r w:rsidR="002869A7">
        <w:rPr>
          <w:rFonts w:cs="Arial"/>
          <w:sz w:val="22"/>
          <w:szCs w:val="22"/>
        </w:rPr>
        <w:t>on a more bespoke</w:t>
      </w:r>
      <w:r w:rsidR="00705526">
        <w:rPr>
          <w:rFonts w:cs="Arial"/>
          <w:sz w:val="22"/>
          <w:szCs w:val="22"/>
        </w:rPr>
        <w:t xml:space="preserve"> basis will also increase as needs increase</w:t>
      </w:r>
      <w:r w:rsidR="002869A7">
        <w:rPr>
          <w:rFonts w:cs="Arial"/>
          <w:sz w:val="22"/>
          <w:szCs w:val="22"/>
        </w:rPr>
        <w:t xml:space="preserve">. </w:t>
      </w:r>
      <w:r>
        <w:rPr>
          <w:rFonts w:cs="Arial"/>
          <w:sz w:val="22"/>
          <w:szCs w:val="22"/>
        </w:rPr>
        <w:t>The values of the bands have been built up on</w:t>
      </w:r>
      <w:r w:rsidRPr="000B5D1C">
        <w:rPr>
          <w:rFonts w:cs="Arial"/>
          <w:sz w:val="22"/>
          <w:szCs w:val="22"/>
        </w:rPr>
        <w:t xml:space="preserve"> ‘notional assumptions’ about the proportion of additional support given to an EHCP, with this support split between bespoke time and time in smaller groups. This is a model for the SEND Panel to use to determine the volume and type of support </w:t>
      </w:r>
      <w:r>
        <w:rPr>
          <w:rFonts w:cs="Arial"/>
          <w:sz w:val="22"/>
          <w:szCs w:val="22"/>
        </w:rPr>
        <w:t xml:space="preserve">required to </w:t>
      </w:r>
      <w:r w:rsidR="002869A7">
        <w:rPr>
          <w:rFonts w:cs="Arial"/>
          <w:sz w:val="22"/>
          <w:szCs w:val="22"/>
        </w:rPr>
        <w:t xml:space="preserve">then </w:t>
      </w:r>
      <w:r w:rsidRPr="000B5D1C">
        <w:rPr>
          <w:rFonts w:cs="Arial"/>
          <w:sz w:val="22"/>
          <w:szCs w:val="22"/>
        </w:rPr>
        <w:t xml:space="preserve">closely meet the needs of an individual EHCP. </w:t>
      </w:r>
    </w:p>
    <w:p w:rsidR="00305E97" w:rsidRDefault="00305E97" w:rsidP="000B5D1C">
      <w:pPr>
        <w:spacing w:after="200" w:line="276" w:lineRule="auto"/>
        <w:jc w:val="both"/>
        <w:rPr>
          <w:rFonts w:cs="Arial"/>
          <w:sz w:val="22"/>
          <w:szCs w:val="22"/>
        </w:rPr>
      </w:pPr>
      <w:r>
        <w:rPr>
          <w:rFonts w:cs="Arial"/>
          <w:sz w:val="22"/>
          <w:szCs w:val="22"/>
        </w:rPr>
        <w:t xml:space="preserve">2.3 </w:t>
      </w:r>
      <w:r w:rsidRPr="00DF0E19">
        <w:rPr>
          <w:rFonts w:cs="Arial"/>
          <w:sz w:val="22"/>
          <w:szCs w:val="22"/>
        </w:rPr>
        <w:t>Band 3 (EHCP) typically will support the cost of EHCPs placed in mainstream provisions. Band 4 (EHCP plus) typically will support the cost of EHCPs placed in specialist provisions.</w:t>
      </w:r>
      <w:r w:rsidR="00875471">
        <w:rPr>
          <w:rFonts w:cs="Arial"/>
          <w:sz w:val="22"/>
          <w:szCs w:val="22"/>
        </w:rPr>
        <w:t xml:space="preserve"> However, this is not an absolute position and the </w:t>
      </w:r>
      <w:r w:rsidR="004F596F">
        <w:rPr>
          <w:rFonts w:cs="Arial"/>
          <w:sz w:val="22"/>
          <w:szCs w:val="22"/>
        </w:rPr>
        <w:t xml:space="preserve">SEND </w:t>
      </w:r>
      <w:r w:rsidR="00875471">
        <w:rPr>
          <w:rFonts w:cs="Arial"/>
          <w:sz w:val="22"/>
          <w:szCs w:val="22"/>
        </w:rPr>
        <w:t>Panel will use the model flexibly to closely meet need.</w:t>
      </w:r>
    </w:p>
    <w:p w:rsidR="000B5D1C" w:rsidRPr="000B5D1C" w:rsidRDefault="000B5D1C" w:rsidP="000B5D1C">
      <w:pPr>
        <w:spacing w:after="200" w:line="276" w:lineRule="auto"/>
        <w:jc w:val="both"/>
        <w:rPr>
          <w:rFonts w:cs="Arial"/>
          <w:sz w:val="22"/>
          <w:szCs w:val="22"/>
        </w:rPr>
      </w:pPr>
      <w:r w:rsidRPr="000B5D1C">
        <w:rPr>
          <w:rFonts w:cs="Arial"/>
          <w:sz w:val="22"/>
          <w:szCs w:val="22"/>
        </w:rPr>
        <w:t>The Band 3 values are calcul</w:t>
      </w:r>
      <w:r>
        <w:rPr>
          <w:rFonts w:cs="Arial"/>
          <w:sz w:val="22"/>
          <w:szCs w:val="22"/>
        </w:rPr>
        <w:t>ated on assumptions on</w:t>
      </w:r>
      <w:r w:rsidRPr="000B5D1C">
        <w:rPr>
          <w:rFonts w:cs="Arial"/>
          <w:sz w:val="22"/>
          <w:szCs w:val="22"/>
        </w:rPr>
        <w:t xml:space="preserve"> additional </w:t>
      </w:r>
      <w:r>
        <w:rPr>
          <w:rFonts w:cs="Arial"/>
          <w:sz w:val="22"/>
          <w:szCs w:val="22"/>
        </w:rPr>
        <w:t>‘</w:t>
      </w:r>
      <w:r w:rsidR="004F596F">
        <w:rPr>
          <w:rFonts w:cs="Arial"/>
          <w:sz w:val="22"/>
          <w:szCs w:val="22"/>
        </w:rPr>
        <w:t>support</w:t>
      </w:r>
      <w:r w:rsidRPr="000B5D1C">
        <w:rPr>
          <w:rFonts w:cs="Arial"/>
          <w:sz w:val="22"/>
          <w:szCs w:val="22"/>
        </w:rPr>
        <w:t xml:space="preserve"> assistant</w:t>
      </w:r>
      <w:r>
        <w:rPr>
          <w:rFonts w:cs="Arial"/>
          <w:sz w:val="22"/>
          <w:szCs w:val="22"/>
        </w:rPr>
        <w:t>’</w:t>
      </w:r>
      <w:r w:rsidRPr="000B5D1C">
        <w:rPr>
          <w:rFonts w:cs="Arial"/>
          <w:sz w:val="22"/>
          <w:szCs w:val="22"/>
        </w:rPr>
        <w:t xml:space="preserve"> time (where bespoke means 1:1 and group time is in groups of 1:3). The cost per hour assumption within the 2020/21 financial year model</w:t>
      </w:r>
      <w:r>
        <w:rPr>
          <w:rFonts w:cs="Arial"/>
          <w:sz w:val="22"/>
          <w:szCs w:val="22"/>
        </w:rPr>
        <w:t>, on a term time only basis and incorporating assumptions about on-costs,</w:t>
      </w:r>
      <w:r w:rsidRPr="000B5D1C">
        <w:rPr>
          <w:rFonts w:cs="Arial"/>
          <w:sz w:val="22"/>
          <w:szCs w:val="22"/>
        </w:rPr>
        <w:t xml:space="preserve"> is £15.63. </w:t>
      </w:r>
    </w:p>
    <w:p w:rsidR="000B5D1C" w:rsidRDefault="000B5D1C" w:rsidP="00EC42D8">
      <w:pPr>
        <w:spacing w:after="200" w:line="276" w:lineRule="auto"/>
        <w:jc w:val="both"/>
        <w:rPr>
          <w:rFonts w:cs="Arial"/>
          <w:sz w:val="22"/>
          <w:szCs w:val="22"/>
        </w:rPr>
      </w:pPr>
      <w:r w:rsidRPr="000B5D1C">
        <w:rPr>
          <w:rFonts w:cs="Arial"/>
          <w:sz w:val="22"/>
          <w:szCs w:val="22"/>
        </w:rPr>
        <w:t xml:space="preserve">The Band 4 values </w:t>
      </w:r>
      <w:r w:rsidR="006C68CF">
        <w:rPr>
          <w:rFonts w:cs="Arial"/>
          <w:sz w:val="22"/>
          <w:szCs w:val="22"/>
        </w:rPr>
        <w:t xml:space="preserve">are </w:t>
      </w:r>
      <w:r w:rsidRPr="000B5D1C">
        <w:rPr>
          <w:rFonts w:cs="Arial"/>
          <w:sz w:val="22"/>
          <w:szCs w:val="22"/>
        </w:rPr>
        <w:t>calculated on assumptions on</w:t>
      </w:r>
      <w:r w:rsidR="004F596F">
        <w:rPr>
          <w:rFonts w:cs="Arial"/>
          <w:sz w:val="22"/>
          <w:szCs w:val="22"/>
        </w:rPr>
        <w:t xml:space="preserve"> both support</w:t>
      </w:r>
      <w:r w:rsidRPr="000B5D1C">
        <w:rPr>
          <w:rFonts w:cs="Arial"/>
          <w:sz w:val="22"/>
          <w:szCs w:val="22"/>
        </w:rPr>
        <w:t xml:space="preserve"> assistant time (where bespoke means 1:1 and group time is in groups of 1:2) </w:t>
      </w:r>
      <w:r w:rsidR="002869A7">
        <w:rPr>
          <w:rFonts w:cs="Arial"/>
          <w:sz w:val="22"/>
          <w:szCs w:val="22"/>
        </w:rPr>
        <w:t>and</w:t>
      </w:r>
      <w:r w:rsidRPr="000B5D1C">
        <w:rPr>
          <w:rFonts w:cs="Arial"/>
          <w:sz w:val="22"/>
          <w:szCs w:val="22"/>
        </w:rPr>
        <w:t xml:space="preserve"> teacher time in group sizes of 1:12, 1:8 and 1:6. The cost </w:t>
      </w:r>
      <w:r w:rsidR="004F596F">
        <w:rPr>
          <w:rFonts w:cs="Arial"/>
          <w:sz w:val="22"/>
          <w:szCs w:val="22"/>
        </w:rPr>
        <w:t xml:space="preserve">per hour assumption for support assistant time </w:t>
      </w:r>
      <w:r w:rsidRPr="000B5D1C">
        <w:rPr>
          <w:rFonts w:cs="Arial"/>
          <w:sz w:val="22"/>
          <w:szCs w:val="22"/>
        </w:rPr>
        <w:t>within the 2020/21 financial year model is £15.63 as in Band 3. The cost per hour assumpti</w:t>
      </w:r>
      <w:r w:rsidR="002869A7">
        <w:rPr>
          <w:rFonts w:cs="Arial"/>
          <w:sz w:val="22"/>
          <w:szCs w:val="22"/>
        </w:rPr>
        <w:t>on</w:t>
      </w:r>
      <w:r w:rsidRPr="000B5D1C">
        <w:rPr>
          <w:rFonts w:cs="Arial"/>
          <w:sz w:val="22"/>
          <w:szCs w:val="22"/>
        </w:rPr>
        <w:t xml:space="preserve"> for teacher time in the model is £41.18.</w:t>
      </w:r>
    </w:p>
    <w:p w:rsidR="00623C6E" w:rsidRDefault="00DF0E19" w:rsidP="00EC42D8">
      <w:pPr>
        <w:spacing w:after="200" w:line="276" w:lineRule="auto"/>
        <w:jc w:val="both"/>
        <w:rPr>
          <w:rFonts w:cs="Arial"/>
          <w:sz w:val="22"/>
          <w:szCs w:val="22"/>
        </w:rPr>
      </w:pPr>
      <w:r>
        <w:rPr>
          <w:rFonts w:cs="Arial"/>
          <w:sz w:val="22"/>
          <w:szCs w:val="22"/>
        </w:rPr>
        <w:t>2.4</w:t>
      </w:r>
      <w:r w:rsidR="000039A4">
        <w:rPr>
          <w:rFonts w:cs="Arial"/>
          <w:sz w:val="22"/>
          <w:szCs w:val="22"/>
        </w:rPr>
        <w:t xml:space="preserve"> </w:t>
      </w:r>
      <w:r w:rsidR="00623C6E">
        <w:rPr>
          <w:rFonts w:cs="Arial"/>
          <w:sz w:val="22"/>
          <w:szCs w:val="22"/>
        </w:rPr>
        <w:t>Each EHCP</w:t>
      </w:r>
      <w:r w:rsidR="00FC49FC">
        <w:rPr>
          <w:rFonts w:cs="Arial"/>
          <w:sz w:val="22"/>
          <w:szCs w:val="22"/>
        </w:rPr>
        <w:t xml:space="preserve"> will</w:t>
      </w:r>
      <w:r w:rsidR="00623C6E">
        <w:rPr>
          <w:rFonts w:cs="Arial"/>
          <w:sz w:val="22"/>
          <w:szCs w:val="22"/>
        </w:rPr>
        <w:t xml:space="preserve"> be funded at the ban</w:t>
      </w:r>
      <w:r w:rsidR="00C13413">
        <w:rPr>
          <w:rFonts w:cs="Arial"/>
          <w:sz w:val="22"/>
          <w:szCs w:val="22"/>
        </w:rPr>
        <w:t>d value that provides the close</w:t>
      </w:r>
      <w:r w:rsidR="008A3776">
        <w:rPr>
          <w:rFonts w:cs="Arial"/>
          <w:sz w:val="22"/>
          <w:szCs w:val="22"/>
        </w:rPr>
        <w:t>st</w:t>
      </w:r>
      <w:r w:rsidR="00623C6E">
        <w:rPr>
          <w:rFonts w:cs="Arial"/>
          <w:sz w:val="22"/>
          <w:szCs w:val="22"/>
        </w:rPr>
        <w:t xml:space="preserve"> fit for</w:t>
      </w:r>
      <w:r w:rsidR="00FC49FC">
        <w:rPr>
          <w:rFonts w:cs="Arial"/>
          <w:sz w:val="22"/>
          <w:szCs w:val="22"/>
        </w:rPr>
        <w:t xml:space="preserve"> meeting</w:t>
      </w:r>
      <w:r w:rsidR="00623C6E">
        <w:rPr>
          <w:rFonts w:cs="Arial"/>
          <w:sz w:val="22"/>
          <w:szCs w:val="22"/>
        </w:rPr>
        <w:t xml:space="preserve"> the cost of the needs of the child or young</w:t>
      </w:r>
      <w:r w:rsidR="00712C24">
        <w:rPr>
          <w:rFonts w:cs="Arial"/>
          <w:sz w:val="22"/>
          <w:szCs w:val="22"/>
        </w:rPr>
        <w:t xml:space="preserve"> person. In the new model, the closest fit</w:t>
      </w:r>
      <w:r w:rsidR="00623C6E">
        <w:rPr>
          <w:rFonts w:cs="Arial"/>
          <w:sz w:val="22"/>
          <w:szCs w:val="22"/>
        </w:rPr>
        <w:t xml:space="preserve"> may </w:t>
      </w:r>
      <w:r w:rsidR="00FC49FC">
        <w:rPr>
          <w:rFonts w:cs="Arial"/>
          <w:sz w:val="22"/>
          <w:szCs w:val="22"/>
        </w:rPr>
        <w:t xml:space="preserve">also </w:t>
      </w:r>
      <w:r w:rsidR="00623C6E">
        <w:rPr>
          <w:rFonts w:cs="Arial"/>
          <w:sz w:val="22"/>
          <w:szCs w:val="22"/>
        </w:rPr>
        <w:t>be found by combining (</w:t>
      </w:r>
      <w:r w:rsidR="000043B2">
        <w:rPr>
          <w:rFonts w:cs="Arial"/>
          <w:sz w:val="22"/>
          <w:szCs w:val="22"/>
        </w:rPr>
        <w:t>‘</w:t>
      </w:r>
      <w:r w:rsidR="00623C6E">
        <w:rPr>
          <w:rFonts w:cs="Arial"/>
          <w:sz w:val="22"/>
          <w:szCs w:val="22"/>
        </w:rPr>
        <w:t>stacking</w:t>
      </w:r>
      <w:r w:rsidR="000043B2">
        <w:rPr>
          <w:rFonts w:cs="Arial"/>
          <w:sz w:val="22"/>
          <w:szCs w:val="22"/>
        </w:rPr>
        <w:t>’</w:t>
      </w:r>
      <w:r w:rsidR="00553D4C">
        <w:rPr>
          <w:rFonts w:cs="Arial"/>
          <w:sz w:val="22"/>
          <w:szCs w:val="22"/>
        </w:rPr>
        <w:t>) more than one</w:t>
      </w:r>
      <w:r w:rsidR="00623C6E">
        <w:rPr>
          <w:rFonts w:cs="Arial"/>
          <w:sz w:val="22"/>
          <w:szCs w:val="22"/>
        </w:rPr>
        <w:t xml:space="preserve"> band value. The facility to combine values means that the SEND Panel can use the model</w:t>
      </w:r>
      <w:r w:rsidR="00FC49FC">
        <w:rPr>
          <w:rFonts w:cs="Arial"/>
          <w:sz w:val="22"/>
          <w:szCs w:val="22"/>
        </w:rPr>
        <w:t xml:space="preserve"> in a flexible way</w:t>
      </w:r>
      <w:r w:rsidR="00623C6E">
        <w:rPr>
          <w:rFonts w:cs="Arial"/>
          <w:sz w:val="22"/>
          <w:szCs w:val="22"/>
        </w:rPr>
        <w:t xml:space="preserve"> to find a </w:t>
      </w:r>
      <w:r w:rsidR="00C13413">
        <w:rPr>
          <w:rFonts w:cs="Arial"/>
          <w:sz w:val="22"/>
          <w:szCs w:val="22"/>
        </w:rPr>
        <w:t xml:space="preserve">very </w:t>
      </w:r>
      <w:r w:rsidR="00623C6E">
        <w:rPr>
          <w:rFonts w:cs="Arial"/>
          <w:sz w:val="22"/>
          <w:szCs w:val="22"/>
        </w:rPr>
        <w:t>close fit for the funding especially of children and young people with significant secondary needs as well as those that require additional functional support</w:t>
      </w:r>
      <w:r w:rsidR="000043B2">
        <w:rPr>
          <w:rFonts w:cs="Arial"/>
          <w:sz w:val="22"/>
          <w:szCs w:val="22"/>
        </w:rPr>
        <w:t xml:space="preserve"> </w:t>
      </w:r>
      <w:r w:rsidR="00FC49FC">
        <w:rPr>
          <w:rFonts w:cs="Arial"/>
          <w:sz w:val="22"/>
          <w:szCs w:val="22"/>
        </w:rPr>
        <w:t xml:space="preserve">both </w:t>
      </w:r>
      <w:r w:rsidR="001E1106">
        <w:rPr>
          <w:rFonts w:cs="Arial"/>
          <w:sz w:val="22"/>
          <w:szCs w:val="22"/>
        </w:rPr>
        <w:t>within and outside of</w:t>
      </w:r>
      <w:r w:rsidR="004F596F">
        <w:rPr>
          <w:rFonts w:cs="Arial"/>
          <w:sz w:val="22"/>
          <w:szCs w:val="22"/>
        </w:rPr>
        <w:t xml:space="preserve"> the standard taught</w:t>
      </w:r>
      <w:r>
        <w:rPr>
          <w:rFonts w:cs="Arial"/>
          <w:sz w:val="22"/>
          <w:szCs w:val="22"/>
        </w:rPr>
        <w:t xml:space="preserve"> school day</w:t>
      </w:r>
      <w:r w:rsidR="00511054">
        <w:rPr>
          <w:rFonts w:cs="Arial"/>
          <w:sz w:val="22"/>
          <w:szCs w:val="22"/>
        </w:rPr>
        <w:t xml:space="preserve"> where this i</w:t>
      </w:r>
      <w:r w:rsidR="001E1106">
        <w:rPr>
          <w:rFonts w:cs="Arial"/>
          <w:sz w:val="22"/>
          <w:szCs w:val="22"/>
        </w:rPr>
        <w:t>s not already funded within a single band value</w:t>
      </w:r>
      <w:r>
        <w:rPr>
          <w:rFonts w:cs="Arial"/>
          <w:sz w:val="22"/>
          <w:szCs w:val="22"/>
        </w:rPr>
        <w:t>.</w:t>
      </w:r>
    </w:p>
    <w:p w:rsidR="00C13413" w:rsidRDefault="000039A4" w:rsidP="00EC42D8">
      <w:pPr>
        <w:spacing w:after="200" w:line="276" w:lineRule="auto"/>
        <w:jc w:val="both"/>
        <w:rPr>
          <w:rFonts w:cs="Arial"/>
          <w:sz w:val="22"/>
          <w:szCs w:val="22"/>
        </w:rPr>
      </w:pPr>
      <w:r>
        <w:rPr>
          <w:rFonts w:cs="Arial"/>
          <w:sz w:val="22"/>
          <w:szCs w:val="22"/>
        </w:rPr>
        <w:t>2.</w:t>
      </w:r>
      <w:r w:rsidR="00FC49FC">
        <w:rPr>
          <w:rFonts w:cs="Arial"/>
          <w:sz w:val="22"/>
          <w:szCs w:val="22"/>
        </w:rPr>
        <w:t>5</w:t>
      </w:r>
      <w:r w:rsidR="00C13413">
        <w:rPr>
          <w:rFonts w:cs="Arial"/>
          <w:sz w:val="22"/>
          <w:szCs w:val="22"/>
        </w:rPr>
        <w:t xml:space="preserve"> To highlight </w:t>
      </w:r>
      <w:r w:rsidR="008A3776">
        <w:rPr>
          <w:rFonts w:cs="Arial"/>
          <w:sz w:val="22"/>
          <w:szCs w:val="22"/>
        </w:rPr>
        <w:t xml:space="preserve">then </w:t>
      </w:r>
      <w:r w:rsidR="00FC49FC">
        <w:rPr>
          <w:rFonts w:cs="Arial"/>
          <w:sz w:val="22"/>
          <w:szCs w:val="22"/>
        </w:rPr>
        <w:t>the</w:t>
      </w:r>
      <w:r w:rsidR="00511054">
        <w:rPr>
          <w:rFonts w:cs="Arial"/>
          <w:sz w:val="22"/>
          <w:szCs w:val="22"/>
        </w:rPr>
        <w:t xml:space="preserve"> main differences between the</w:t>
      </w:r>
      <w:r w:rsidR="00C13413">
        <w:rPr>
          <w:rFonts w:cs="Arial"/>
          <w:sz w:val="22"/>
          <w:szCs w:val="22"/>
        </w:rPr>
        <w:t xml:space="preserve"> new</w:t>
      </w:r>
      <w:r w:rsidR="00511054">
        <w:rPr>
          <w:rFonts w:cs="Arial"/>
          <w:sz w:val="22"/>
          <w:szCs w:val="22"/>
        </w:rPr>
        <w:t xml:space="preserve"> proposed</w:t>
      </w:r>
      <w:r w:rsidR="00C13413">
        <w:rPr>
          <w:rFonts w:cs="Arial"/>
          <w:sz w:val="22"/>
          <w:szCs w:val="22"/>
        </w:rPr>
        <w:t xml:space="preserve"> Banded Model and the current Ranges Model:</w:t>
      </w:r>
    </w:p>
    <w:p w:rsidR="00DF0E19" w:rsidRDefault="00DF0E19" w:rsidP="00DF0E19">
      <w:pPr>
        <w:pStyle w:val="ListParagraph"/>
        <w:numPr>
          <w:ilvl w:val="0"/>
          <w:numId w:val="29"/>
        </w:numPr>
        <w:spacing w:after="200" w:line="276" w:lineRule="auto"/>
        <w:jc w:val="both"/>
        <w:rPr>
          <w:rFonts w:cs="Arial"/>
          <w:sz w:val="22"/>
          <w:szCs w:val="22"/>
        </w:rPr>
      </w:pPr>
      <w:r w:rsidRPr="003B75EF">
        <w:rPr>
          <w:rFonts w:cs="Arial"/>
          <w:sz w:val="22"/>
          <w:szCs w:val="22"/>
        </w:rPr>
        <w:t>The new model does not have a 7</w:t>
      </w:r>
      <w:r w:rsidRPr="003B75EF">
        <w:rPr>
          <w:rFonts w:cs="Arial"/>
          <w:sz w:val="22"/>
          <w:szCs w:val="22"/>
          <w:vertAlign w:val="superscript"/>
        </w:rPr>
        <w:t>th</w:t>
      </w:r>
      <w:r w:rsidRPr="003B75EF">
        <w:rPr>
          <w:rFonts w:cs="Arial"/>
          <w:sz w:val="22"/>
          <w:szCs w:val="22"/>
        </w:rPr>
        <w:t xml:space="preserve"> step (the equivalent of </w:t>
      </w:r>
      <w:r>
        <w:rPr>
          <w:rFonts w:cs="Arial"/>
          <w:sz w:val="22"/>
          <w:szCs w:val="22"/>
        </w:rPr>
        <w:t>our current Range 7). It is</w:t>
      </w:r>
      <w:r w:rsidRPr="003B75EF">
        <w:rPr>
          <w:rFonts w:cs="Arial"/>
          <w:sz w:val="22"/>
          <w:szCs w:val="22"/>
        </w:rPr>
        <w:t xml:space="preserve"> expected that stacking would deliver a level of support higher than the single </w:t>
      </w:r>
      <w:r w:rsidR="00FC49FC">
        <w:rPr>
          <w:rFonts w:cs="Arial"/>
          <w:sz w:val="22"/>
          <w:szCs w:val="22"/>
        </w:rPr>
        <w:t xml:space="preserve">band </w:t>
      </w:r>
      <w:r>
        <w:rPr>
          <w:rFonts w:cs="Arial"/>
          <w:sz w:val="22"/>
          <w:szCs w:val="22"/>
        </w:rPr>
        <w:t>4H where this is necessary. S</w:t>
      </w:r>
      <w:r w:rsidRPr="003B75EF">
        <w:rPr>
          <w:rFonts w:cs="Arial"/>
          <w:sz w:val="22"/>
          <w:szCs w:val="22"/>
        </w:rPr>
        <w:t>pecific transition arrangements will be req</w:t>
      </w:r>
      <w:r w:rsidR="00FC49FC">
        <w:rPr>
          <w:rFonts w:cs="Arial"/>
          <w:sz w:val="22"/>
          <w:szCs w:val="22"/>
        </w:rPr>
        <w:t>uired for current Range 7 EHCPs and t</w:t>
      </w:r>
      <w:r w:rsidRPr="003B75EF">
        <w:rPr>
          <w:rFonts w:cs="Arial"/>
          <w:sz w:val="22"/>
          <w:szCs w:val="22"/>
        </w:rPr>
        <w:t>ransition to the new model is set out further below.</w:t>
      </w:r>
    </w:p>
    <w:p w:rsidR="00511054" w:rsidRDefault="00511054" w:rsidP="00511054">
      <w:pPr>
        <w:pStyle w:val="ListParagraph"/>
        <w:spacing w:after="200" w:line="276" w:lineRule="auto"/>
        <w:ind w:left="360"/>
        <w:jc w:val="both"/>
        <w:rPr>
          <w:rFonts w:cs="Arial"/>
          <w:sz w:val="22"/>
          <w:szCs w:val="22"/>
        </w:rPr>
      </w:pPr>
    </w:p>
    <w:p w:rsidR="00DF0E19" w:rsidRDefault="00511054" w:rsidP="00511054">
      <w:pPr>
        <w:pStyle w:val="ListParagraph"/>
        <w:numPr>
          <w:ilvl w:val="0"/>
          <w:numId w:val="29"/>
        </w:numPr>
        <w:spacing w:after="200" w:line="276" w:lineRule="auto"/>
        <w:jc w:val="both"/>
        <w:rPr>
          <w:rFonts w:cs="Arial"/>
          <w:sz w:val="22"/>
          <w:szCs w:val="22"/>
        </w:rPr>
      </w:pPr>
      <w:r>
        <w:rPr>
          <w:rFonts w:cs="Arial"/>
          <w:sz w:val="22"/>
          <w:szCs w:val="22"/>
        </w:rPr>
        <w:t>The Panel can</w:t>
      </w:r>
      <w:r w:rsidRPr="003B75EF">
        <w:rPr>
          <w:rFonts w:cs="Arial"/>
          <w:sz w:val="22"/>
          <w:szCs w:val="22"/>
        </w:rPr>
        <w:t xml:space="preserve"> ‘stack’ values (meaning an E</w:t>
      </w:r>
      <w:r w:rsidR="00207EEB">
        <w:rPr>
          <w:rFonts w:cs="Arial"/>
          <w:sz w:val="22"/>
          <w:szCs w:val="22"/>
        </w:rPr>
        <w:t>HCP can be allocated more than one</w:t>
      </w:r>
      <w:r w:rsidRPr="003B75EF">
        <w:rPr>
          <w:rFonts w:cs="Arial"/>
          <w:sz w:val="22"/>
          <w:szCs w:val="22"/>
        </w:rPr>
        <w:t xml:space="preserve"> value) in order to find </w:t>
      </w:r>
      <w:r>
        <w:rPr>
          <w:rFonts w:cs="Arial"/>
          <w:sz w:val="22"/>
          <w:szCs w:val="22"/>
        </w:rPr>
        <w:t>a close fit.</w:t>
      </w:r>
    </w:p>
    <w:p w:rsidR="00511054" w:rsidRPr="00511054" w:rsidRDefault="00511054" w:rsidP="00511054">
      <w:pPr>
        <w:pStyle w:val="ListParagraph"/>
        <w:spacing w:after="200" w:line="276" w:lineRule="auto"/>
        <w:ind w:left="360"/>
        <w:jc w:val="both"/>
        <w:rPr>
          <w:rFonts w:cs="Arial"/>
          <w:sz w:val="22"/>
          <w:szCs w:val="22"/>
        </w:rPr>
      </w:pPr>
    </w:p>
    <w:p w:rsidR="00C13413" w:rsidRPr="00CA745D" w:rsidRDefault="00511054" w:rsidP="00C13413">
      <w:pPr>
        <w:pStyle w:val="ListParagraph"/>
        <w:numPr>
          <w:ilvl w:val="0"/>
          <w:numId w:val="29"/>
        </w:numPr>
        <w:spacing w:after="200" w:line="276" w:lineRule="auto"/>
        <w:jc w:val="both"/>
        <w:rPr>
          <w:rFonts w:cs="Arial"/>
          <w:sz w:val="22"/>
          <w:szCs w:val="22"/>
        </w:rPr>
      </w:pPr>
      <w:r w:rsidRPr="00CA745D">
        <w:rPr>
          <w:rFonts w:cs="Arial"/>
          <w:sz w:val="22"/>
          <w:szCs w:val="22"/>
        </w:rPr>
        <w:t xml:space="preserve">The new model does not use primary need as </w:t>
      </w:r>
      <w:r w:rsidR="00D13E26">
        <w:rPr>
          <w:rFonts w:cs="Arial"/>
          <w:sz w:val="22"/>
          <w:szCs w:val="22"/>
        </w:rPr>
        <w:t xml:space="preserve">a </w:t>
      </w:r>
      <w:r w:rsidRPr="00CA745D">
        <w:rPr>
          <w:rFonts w:cs="Arial"/>
          <w:sz w:val="22"/>
          <w:szCs w:val="22"/>
        </w:rPr>
        <w:t>marker for the placement of an EHCP into a band.</w:t>
      </w:r>
      <w:r w:rsidR="004F596F">
        <w:rPr>
          <w:rFonts w:cs="Arial"/>
          <w:sz w:val="22"/>
          <w:szCs w:val="22"/>
        </w:rPr>
        <w:t xml:space="preserve"> Placement is based on level of need.</w:t>
      </w:r>
    </w:p>
    <w:p w:rsidR="00305E97" w:rsidRPr="00CA745D" w:rsidRDefault="00305E97" w:rsidP="00511054">
      <w:pPr>
        <w:pStyle w:val="ListParagraph"/>
        <w:spacing w:after="200" w:line="276" w:lineRule="auto"/>
        <w:ind w:left="360"/>
        <w:jc w:val="both"/>
        <w:rPr>
          <w:rFonts w:cs="Arial"/>
          <w:sz w:val="22"/>
          <w:szCs w:val="22"/>
        </w:rPr>
      </w:pPr>
    </w:p>
    <w:p w:rsidR="00C13413" w:rsidRDefault="00511054" w:rsidP="00CA745D">
      <w:pPr>
        <w:pStyle w:val="ListParagraph"/>
        <w:numPr>
          <w:ilvl w:val="0"/>
          <w:numId w:val="29"/>
        </w:numPr>
        <w:spacing w:after="200" w:line="276" w:lineRule="auto"/>
        <w:jc w:val="both"/>
        <w:rPr>
          <w:rFonts w:cs="Arial"/>
          <w:sz w:val="22"/>
          <w:szCs w:val="22"/>
        </w:rPr>
      </w:pPr>
      <w:r w:rsidRPr="00CA745D">
        <w:rPr>
          <w:rFonts w:cs="Arial"/>
          <w:sz w:val="22"/>
          <w:szCs w:val="22"/>
        </w:rPr>
        <w:t>Whereas the current Ranges Model defines need in terms of 1:1 hours of support, the new model uses a p</w:t>
      </w:r>
      <w:r w:rsidR="00305E97" w:rsidRPr="00CA745D">
        <w:rPr>
          <w:rFonts w:cs="Arial"/>
          <w:sz w:val="22"/>
          <w:szCs w:val="22"/>
        </w:rPr>
        <w:t>rovision mapping</w:t>
      </w:r>
      <w:r w:rsidRPr="00CA745D">
        <w:rPr>
          <w:rFonts w:cs="Arial"/>
          <w:sz w:val="22"/>
          <w:szCs w:val="22"/>
        </w:rPr>
        <w:t xml:space="preserve"> approach</w:t>
      </w:r>
      <w:r w:rsidR="00CA745D" w:rsidRPr="00CA745D">
        <w:rPr>
          <w:rFonts w:cs="Arial"/>
          <w:sz w:val="22"/>
          <w:szCs w:val="22"/>
        </w:rPr>
        <w:t xml:space="preserve"> and </w:t>
      </w:r>
      <w:r w:rsidR="004F596F">
        <w:rPr>
          <w:rFonts w:cs="Arial"/>
          <w:sz w:val="22"/>
          <w:szCs w:val="22"/>
        </w:rPr>
        <w:t>a combination of bespoke</w:t>
      </w:r>
      <w:r w:rsidR="00CA745D" w:rsidRPr="00CA745D">
        <w:rPr>
          <w:rFonts w:cs="Arial"/>
          <w:sz w:val="22"/>
          <w:szCs w:val="22"/>
        </w:rPr>
        <w:t xml:space="preserve"> time and time in smaller groups.</w:t>
      </w:r>
    </w:p>
    <w:p w:rsidR="00CA745D" w:rsidRPr="00CA745D" w:rsidRDefault="00CA745D" w:rsidP="00CA745D">
      <w:pPr>
        <w:pStyle w:val="ListParagraph"/>
        <w:spacing w:after="200" w:line="276" w:lineRule="auto"/>
        <w:ind w:left="360"/>
        <w:jc w:val="both"/>
        <w:rPr>
          <w:rFonts w:cs="Arial"/>
          <w:sz w:val="22"/>
          <w:szCs w:val="22"/>
        </w:rPr>
      </w:pPr>
    </w:p>
    <w:p w:rsidR="008A3776" w:rsidRPr="00CA745D" w:rsidRDefault="008A3776" w:rsidP="00C13413">
      <w:pPr>
        <w:pStyle w:val="ListParagraph"/>
        <w:numPr>
          <w:ilvl w:val="0"/>
          <w:numId w:val="29"/>
        </w:numPr>
        <w:spacing w:after="200" w:line="276" w:lineRule="auto"/>
        <w:jc w:val="both"/>
        <w:rPr>
          <w:rFonts w:cs="Arial"/>
          <w:sz w:val="22"/>
          <w:szCs w:val="22"/>
        </w:rPr>
      </w:pPr>
      <w:r w:rsidRPr="00CA745D">
        <w:rPr>
          <w:rFonts w:cs="Arial"/>
          <w:sz w:val="22"/>
          <w:szCs w:val="22"/>
        </w:rPr>
        <w:t xml:space="preserve">The values </w:t>
      </w:r>
      <w:r w:rsidR="00CA745D" w:rsidRPr="00CA745D">
        <w:rPr>
          <w:rFonts w:cs="Arial"/>
          <w:sz w:val="22"/>
          <w:szCs w:val="22"/>
        </w:rPr>
        <w:t xml:space="preserve">proposed to be allocated by the new model </w:t>
      </w:r>
      <w:r w:rsidRPr="00CA745D">
        <w:rPr>
          <w:rFonts w:cs="Arial"/>
          <w:sz w:val="22"/>
          <w:szCs w:val="22"/>
        </w:rPr>
        <w:t xml:space="preserve">are </w:t>
      </w:r>
      <w:r w:rsidR="00CA745D" w:rsidRPr="00CA745D">
        <w:rPr>
          <w:rFonts w:cs="Arial"/>
          <w:sz w:val="22"/>
          <w:szCs w:val="22"/>
        </w:rPr>
        <w:t>increased</w:t>
      </w:r>
      <w:r w:rsidR="00672FCB" w:rsidRPr="00CA745D">
        <w:rPr>
          <w:rFonts w:cs="Arial"/>
          <w:sz w:val="22"/>
          <w:szCs w:val="22"/>
        </w:rPr>
        <w:t>.</w:t>
      </w:r>
      <w:r w:rsidR="003F3E31">
        <w:rPr>
          <w:rFonts w:cs="Arial"/>
          <w:sz w:val="22"/>
          <w:szCs w:val="22"/>
        </w:rPr>
        <w:t xml:space="preserve"> The values of the 1</w:t>
      </w:r>
      <w:r w:rsidR="003F3E31" w:rsidRPr="003F3E31">
        <w:rPr>
          <w:rFonts w:cs="Arial"/>
          <w:sz w:val="22"/>
          <w:szCs w:val="22"/>
          <w:vertAlign w:val="superscript"/>
        </w:rPr>
        <w:t>st</w:t>
      </w:r>
      <w:r w:rsidR="003F3E31">
        <w:rPr>
          <w:rFonts w:cs="Arial"/>
          <w:sz w:val="22"/>
          <w:szCs w:val="22"/>
        </w:rPr>
        <w:t xml:space="preserve"> two steps in Band 3 increase the most.</w:t>
      </w:r>
      <w:r w:rsidR="00CA745D" w:rsidRPr="00CA745D">
        <w:rPr>
          <w:rFonts w:cs="Arial"/>
          <w:sz w:val="22"/>
          <w:szCs w:val="22"/>
        </w:rPr>
        <w:t xml:space="preserve"> </w:t>
      </w:r>
      <w:r w:rsidR="003F3E31">
        <w:rPr>
          <w:rFonts w:cs="Arial"/>
          <w:sz w:val="22"/>
          <w:szCs w:val="22"/>
        </w:rPr>
        <w:t>Th</w:t>
      </w:r>
      <w:r w:rsidR="00207EEB">
        <w:rPr>
          <w:rFonts w:cs="Arial"/>
          <w:sz w:val="22"/>
          <w:szCs w:val="22"/>
        </w:rPr>
        <w:t>e</w:t>
      </w:r>
      <w:r w:rsidR="00D13E26">
        <w:rPr>
          <w:rFonts w:cs="Arial"/>
          <w:sz w:val="22"/>
          <w:szCs w:val="22"/>
        </w:rPr>
        <w:t xml:space="preserve"> increase</w:t>
      </w:r>
      <w:r w:rsidR="003F3E31">
        <w:rPr>
          <w:rFonts w:cs="Arial"/>
          <w:sz w:val="22"/>
          <w:szCs w:val="22"/>
        </w:rPr>
        <w:t>s are</w:t>
      </w:r>
      <w:r w:rsidR="00D13E26">
        <w:rPr>
          <w:rFonts w:cs="Arial"/>
          <w:sz w:val="22"/>
          <w:szCs w:val="22"/>
        </w:rPr>
        <w:t xml:space="preserve"> the result of two</w:t>
      </w:r>
      <w:r w:rsidR="001B41B9">
        <w:rPr>
          <w:rFonts w:cs="Arial"/>
          <w:sz w:val="22"/>
          <w:szCs w:val="22"/>
        </w:rPr>
        <w:t xml:space="preserve"> main adjustments</w:t>
      </w:r>
      <w:r w:rsidR="00D13E26">
        <w:rPr>
          <w:rFonts w:cs="Arial"/>
          <w:sz w:val="22"/>
          <w:szCs w:val="22"/>
        </w:rPr>
        <w:t>;</w:t>
      </w:r>
      <w:r w:rsidR="00CA745D" w:rsidRPr="00CA745D">
        <w:rPr>
          <w:rFonts w:cs="Arial"/>
          <w:sz w:val="22"/>
          <w:szCs w:val="22"/>
        </w:rPr>
        <w:t xml:space="preserve"> a) refreshing the assumptions about the salaries of support assistants an</w:t>
      </w:r>
      <w:r w:rsidR="003F3E31">
        <w:rPr>
          <w:rFonts w:cs="Arial"/>
          <w:sz w:val="22"/>
          <w:szCs w:val="22"/>
        </w:rPr>
        <w:t>d teachers - t</w:t>
      </w:r>
      <w:r w:rsidR="00D13E26">
        <w:rPr>
          <w:rFonts w:cs="Arial"/>
          <w:sz w:val="22"/>
          <w:szCs w:val="22"/>
        </w:rPr>
        <w:t>he new model uses estimates of salaries and on-costs for 2020/21;</w:t>
      </w:r>
      <w:r w:rsidR="00CA745D" w:rsidRPr="00CA745D">
        <w:rPr>
          <w:rFonts w:cs="Arial"/>
          <w:sz w:val="22"/>
          <w:szCs w:val="22"/>
        </w:rPr>
        <w:t xml:space="preserve"> b) allowing the top up model now to compensate for the </w:t>
      </w:r>
      <w:r w:rsidR="003F3E31">
        <w:rPr>
          <w:rFonts w:cs="Arial"/>
          <w:sz w:val="22"/>
          <w:szCs w:val="22"/>
        </w:rPr>
        <w:t xml:space="preserve">fixed </w:t>
      </w:r>
      <w:r w:rsidR="00CA745D" w:rsidRPr="00CA745D">
        <w:rPr>
          <w:rFonts w:cs="Arial"/>
          <w:sz w:val="22"/>
          <w:szCs w:val="22"/>
        </w:rPr>
        <w:t>£6,000 element 2, using the additional resources expected to be allocated by the DfE.</w:t>
      </w:r>
      <w:r w:rsidR="00672FCB" w:rsidRPr="00CA745D">
        <w:rPr>
          <w:rFonts w:cs="Arial"/>
          <w:sz w:val="22"/>
          <w:szCs w:val="22"/>
        </w:rPr>
        <w:t xml:space="preserve"> </w:t>
      </w:r>
      <w:r w:rsidR="00D13E26">
        <w:rPr>
          <w:rFonts w:cs="Arial"/>
          <w:sz w:val="22"/>
          <w:szCs w:val="22"/>
        </w:rPr>
        <w:t>Because the £6,000 element 2 has not increased since the implementation of the national model in 2012, the annual increase in the costs of support that results from increased salaries costs must be met by the top up element otherwi</w:t>
      </w:r>
      <w:r w:rsidR="003F3E31">
        <w:rPr>
          <w:rFonts w:cs="Arial"/>
          <w:sz w:val="22"/>
          <w:szCs w:val="22"/>
        </w:rPr>
        <w:t>se there is an annual erosion of</w:t>
      </w:r>
      <w:r w:rsidR="00D13E26">
        <w:rPr>
          <w:rFonts w:cs="Arial"/>
          <w:sz w:val="22"/>
          <w:szCs w:val="22"/>
        </w:rPr>
        <w:t xml:space="preserve"> funding in real terms.</w:t>
      </w:r>
      <w:r w:rsidR="003F3E31">
        <w:rPr>
          <w:rFonts w:cs="Arial"/>
          <w:sz w:val="22"/>
          <w:szCs w:val="22"/>
        </w:rPr>
        <w:t xml:space="preserve"> Previously, there has not been sufficient funding in the High Needs Block</w:t>
      </w:r>
      <w:r w:rsidR="00207EEB">
        <w:rPr>
          <w:rFonts w:cs="Arial"/>
          <w:sz w:val="22"/>
          <w:szCs w:val="22"/>
        </w:rPr>
        <w:t xml:space="preserve"> to adjust for</w:t>
      </w:r>
      <w:r w:rsidR="003F3E31">
        <w:rPr>
          <w:rFonts w:cs="Arial"/>
          <w:sz w:val="22"/>
          <w:szCs w:val="22"/>
        </w:rPr>
        <w:t xml:space="preserve"> this.</w:t>
      </w:r>
    </w:p>
    <w:p w:rsidR="00FC49FC" w:rsidRDefault="00FC49FC" w:rsidP="00FC49FC">
      <w:pPr>
        <w:pStyle w:val="ListParagraph"/>
        <w:spacing w:after="200" w:line="276" w:lineRule="auto"/>
        <w:ind w:left="360"/>
        <w:jc w:val="both"/>
        <w:rPr>
          <w:rFonts w:cs="Arial"/>
          <w:color w:val="FF0000"/>
          <w:sz w:val="22"/>
          <w:szCs w:val="22"/>
        </w:rPr>
      </w:pPr>
    </w:p>
    <w:p w:rsidR="00FC49FC" w:rsidRPr="008869EA" w:rsidRDefault="00FC49FC" w:rsidP="003F3E31">
      <w:pPr>
        <w:pStyle w:val="ListParagraph"/>
        <w:numPr>
          <w:ilvl w:val="0"/>
          <w:numId w:val="29"/>
        </w:numPr>
        <w:spacing w:after="200" w:line="276" w:lineRule="auto"/>
        <w:jc w:val="both"/>
        <w:rPr>
          <w:rFonts w:cs="Arial"/>
          <w:sz w:val="22"/>
          <w:szCs w:val="22"/>
        </w:rPr>
      </w:pPr>
      <w:r w:rsidRPr="003B75EF">
        <w:rPr>
          <w:rFonts w:cs="Arial"/>
          <w:sz w:val="22"/>
          <w:szCs w:val="22"/>
        </w:rPr>
        <w:t xml:space="preserve">The </w:t>
      </w:r>
      <w:r w:rsidR="00D13E26">
        <w:rPr>
          <w:rFonts w:cs="Arial"/>
          <w:sz w:val="22"/>
          <w:szCs w:val="22"/>
        </w:rPr>
        <w:t xml:space="preserve">new </w:t>
      </w:r>
      <w:r w:rsidRPr="003B75EF">
        <w:rPr>
          <w:rFonts w:cs="Arial"/>
          <w:sz w:val="22"/>
          <w:szCs w:val="22"/>
        </w:rPr>
        <w:t xml:space="preserve">model will work alongside </w:t>
      </w:r>
      <w:r>
        <w:rPr>
          <w:rFonts w:cs="Arial"/>
          <w:sz w:val="22"/>
          <w:szCs w:val="22"/>
        </w:rPr>
        <w:t xml:space="preserve">a </w:t>
      </w:r>
      <w:r w:rsidRPr="003B75EF">
        <w:rPr>
          <w:rFonts w:cs="Arial"/>
          <w:sz w:val="22"/>
          <w:szCs w:val="22"/>
        </w:rPr>
        <w:t>clarified</w:t>
      </w:r>
      <w:r>
        <w:rPr>
          <w:rFonts w:cs="Arial"/>
          <w:sz w:val="22"/>
          <w:szCs w:val="22"/>
        </w:rPr>
        <w:t xml:space="preserve"> / amended approach to the sharing of the cost of </w:t>
      </w:r>
      <w:r w:rsidRPr="003B75EF">
        <w:rPr>
          <w:rFonts w:cs="Arial"/>
          <w:sz w:val="22"/>
          <w:szCs w:val="22"/>
        </w:rPr>
        <w:t>speciali</w:t>
      </w:r>
      <w:r>
        <w:rPr>
          <w:rFonts w:cs="Arial"/>
          <w:sz w:val="22"/>
          <w:szCs w:val="22"/>
        </w:rPr>
        <w:t>st equipment</w:t>
      </w:r>
      <w:r w:rsidRPr="003B75EF">
        <w:rPr>
          <w:rFonts w:cs="Arial"/>
          <w:sz w:val="22"/>
          <w:szCs w:val="22"/>
        </w:rPr>
        <w:t>.</w:t>
      </w:r>
      <w:r w:rsidR="00CA745D">
        <w:rPr>
          <w:rFonts w:cs="Arial"/>
          <w:sz w:val="22"/>
          <w:szCs w:val="22"/>
        </w:rPr>
        <w:t xml:space="preserve"> This is discussed further in paragraph 9.</w:t>
      </w:r>
    </w:p>
    <w:p w:rsidR="00D13E26" w:rsidRPr="00D13E26" w:rsidRDefault="00D13E26" w:rsidP="00D13E26">
      <w:pPr>
        <w:spacing w:after="200" w:line="276" w:lineRule="auto"/>
        <w:jc w:val="both"/>
        <w:rPr>
          <w:rFonts w:cs="Arial"/>
          <w:sz w:val="22"/>
          <w:szCs w:val="22"/>
        </w:rPr>
      </w:pPr>
      <w:r w:rsidRPr="00D13E26">
        <w:rPr>
          <w:rFonts w:cs="Arial"/>
          <w:sz w:val="22"/>
          <w:szCs w:val="22"/>
        </w:rPr>
        <w:t>2.</w:t>
      </w:r>
      <w:r>
        <w:rPr>
          <w:rFonts w:cs="Arial"/>
          <w:sz w:val="22"/>
          <w:szCs w:val="22"/>
        </w:rPr>
        <w:t>6</w:t>
      </w:r>
      <w:r w:rsidRPr="00D13E26">
        <w:rPr>
          <w:rFonts w:cs="Arial"/>
          <w:sz w:val="22"/>
          <w:szCs w:val="22"/>
        </w:rPr>
        <w:t xml:space="preserve"> To highlight </w:t>
      </w:r>
      <w:r>
        <w:rPr>
          <w:rFonts w:cs="Arial"/>
          <w:sz w:val="22"/>
          <w:szCs w:val="22"/>
        </w:rPr>
        <w:t xml:space="preserve">how the </w:t>
      </w:r>
      <w:r w:rsidRPr="00D13E26">
        <w:rPr>
          <w:rFonts w:cs="Arial"/>
          <w:sz w:val="22"/>
          <w:szCs w:val="22"/>
        </w:rPr>
        <w:t>new proposed</w:t>
      </w:r>
      <w:r>
        <w:rPr>
          <w:rFonts w:cs="Arial"/>
          <w:sz w:val="22"/>
          <w:szCs w:val="22"/>
        </w:rPr>
        <w:t xml:space="preserve"> Banded Model is the same or similar to</w:t>
      </w:r>
      <w:r w:rsidRPr="00D13E26">
        <w:rPr>
          <w:rFonts w:cs="Arial"/>
          <w:sz w:val="22"/>
          <w:szCs w:val="22"/>
        </w:rPr>
        <w:t xml:space="preserve"> the current Ranges Model:</w:t>
      </w:r>
    </w:p>
    <w:p w:rsidR="00FC49FC" w:rsidRDefault="00FC49FC" w:rsidP="00DF0E19">
      <w:pPr>
        <w:pStyle w:val="ListParagraph"/>
        <w:numPr>
          <w:ilvl w:val="0"/>
          <w:numId w:val="28"/>
        </w:numPr>
        <w:spacing w:after="200" w:line="276" w:lineRule="auto"/>
        <w:jc w:val="both"/>
        <w:rPr>
          <w:rFonts w:cs="Arial"/>
          <w:sz w:val="22"/>
          <w:szCs w:val="22"/>
        </w:rPr>
      </w:pPr>
      <w:r w:rsidRPr="00EC42D8">
        <w:rPr>
          <w:rFonts w:cs="Arial"/>
          <w:sz w:val="22"/>
          <w:szCs w:val="22"/>
        </w:rPr>
        <w:t>Decisions on the application of the Banded Model</w:t>
      </w:r>
      <w:r>
        <w:rPr>
          <w:rFonts w:cs="Arial"/>
          <w:sz w:val="22"/>
          <w:szCs w:val="22"/>
        </w:rPr>
        <w:t xml:space="preserve"> – which of the 6 bands a new EHCP is placed in and whether an EHCP is</w:t>
      </w:r>
      <w:r w:rsidR="00524427">
        <w:rPr>
          <w:rFonts w:cs="Arial"/>
          <w:sz w:val="22"/>
          <w:szCs w:val="22"/>
        </w:rPr>
        <w:t xml:space="preserve"> given more than </w:t>
      </w:r>
      <w:r w:rsidR="002510CF">
        <w:rPr>
          <w:rFonts w:cs="Arial"/>
          <w:sz w:val="22"/>
          <w:szCs w:val="22"/>
        </w:rPr>
        <w:t>one</w:t>
      </w:r>
      <w:r w:rsidR="00524427">
        <w:rPr>
          <w:rFonts w:cs="Arial"/>
          <w:sz w:val="22"/>
          <w:szCs w:val="22"/>
        </w:rPr>
        <w:t xml:space="preserve"> band value -</w:t>
      </w:r>
      <w:r w:rsidRPr="00EC42D8">
        <w:rPr>
          <w:rFonts w:cs="Arial"/>
          <w:sz w:val="22"/>
          <w:szCs w:val="22"/>
        </w:rPr>
        <w:t xml:space="preserve"> </w:t>
      </w:r>
      <w:r>
        <w:rPr>
          <w:rFonts w:cs="Arial"/>
          <w:sz w:val="22"/>
          <w:szCs w:val="22"/>
        </w:rPr>
        <w:t>will continue</w:t>
      </w:r>
      <w:r w:rsidRPr="00EC42D8">
        <w:rPr>
          <w:rFonts w:cs="Arial"/>
          <w:sz w:val="22"/>
          <w:szCs w:val="22"/>
        </w:rPr>
        <w:t xml:space="preserve"> </w:t>
      </w:r>
      <w:r>
        <w:rPr>
          <w:rFonts w:cs="Arial"/>
          <w:sz w:val="22"/>
          <w:szCs w:val="22"/>
        </w:rPr>
        <w:t xml:space="preserve">as now to </w:t>
      </w:r>
      <w:r w:rsidRPr="00EC42D8">
        <w:rPr>
          <w:rFonts w:cs="Arial"/>
          <w:sz w:val="22"/>
          <w:szCs w:val="22"/>
        </w:rPr>
        <w:t>be taken by Bradford Council’s SEND Panel with refere</w:t>
      </w:r>
      <w:r w:rsidR="003F3E31">
        <w:rPr>
          <w:rFonts w:cs="Arial"/>
          <w:sz w:val="22"/>
          <w:szCs w:val="22"/>
        </w:rPr>
        <w:t>nce to the evidence submitted through</w:t>
      </w:r>
      <w:r w:rsidRPr="00EC42D8">
        <w:rPr>
          <w:rFonts w:cs="Arial"/>
          <w:sz w:val="22"/>
          <w:szCs w:val="22"/>
        </w:rPr>
        <w:t xml:space="preserve"> the EHCP assessment process.</w:t>
      </w:r>
      <w:r w:rsidR="00237167">
        <w:rPr>
          <w:rFonts w:cs="Arial"/>
          <w:sz w:val="22"/>
          <w:szCs w:val="22"/>
        </w:rPr>
        <w:t xml:space="preserve"> Appeals and dispute</w:t>
      </w:r>
      <w:r w:rsidR="001D4BD1">
        <w:rPr>
          <w:rFonts w:cs="Arial"/>
          <w:sz w:val="22"/>
          <w:szCs w:val="22"/>
        </w:rPr>
        <w:t>s</w:t>
      </w:r>
      <w:r w:rsidR="00237167">
        <w:rPr>
          <w:rFonts w:cs="Arial"/>
          <w:sz w:val="22"/>
          <w:szCs w:val="22"/>
        </w:rPr>
        <w:t xml:space="preserve"> will also continue to be resolved through the Panel process.</w:t>
      </w:r>
    </w:p>
    <w:p w:rsidR="00FC49FC" w:rsidRDefault="00FC49FC" w:rsidP="00FC49FC">
      <w:pPr>
        <w:pStyle w:val="ListParagraph"/>
        <w:spacing w:after="200" w:line="276" w:lineRule="auto"/>
        <w:ind w:left="360"/>
        <w:jc w:val="both"/>
        <w:rPr>
          <w:rFonts w:cs="Arial"/>
          <w:sz w:val="22"/>
          <w:szCs w:val="22"/>
        </w:rPr>
      </w:pPr>
    </w:p>
    <w:p w:rsidR="00DF0E19" w:rsidRDefault="00DF0E19" w:rsidP="00DF0E19">
      <w:pPr>
        <w:pStyle w:val="ListParagraph"/>
        <w:numPr>
          <w:ilvl w:val="0"/>
          <w:numId w:val="28"/>
        </w:numPr>
        <w:spacing w:after="200" w:line="276" w:lineRule="auto"/>
        <w:jc w:val="both"/>
        <w:rPr>
          <w:rFonts w:cs="Arial"/>
          <w:sz w:val="22"/>
          <w:szCs w:val="22"/>
        </w:rPr>
      </w:pPr>
      <w:r w:rsidRPr="006C1D2E">
        <w:rPr>
          <w:rFonts w:cs="Arial"/>
          <w:sz w:val="22"/>
          <w:szCs w:val="22"/>
        </w:rPr>
        <w:t>In all steps within the model, the school</w:t>
      </w:r>
      <w:r>
        <w:rPr>
          <w:rFonts w:cs="Arial"/>
          <w:sz w:val="22"/>
          <w:szCs w:val="22"/>
        </w:rPr>
        <w:t xml:space="preserve"> / provider, with the exception of EHCPs for 2, 3 and 4 years olds (pre-reception)</w:t>
      </w:r>
      <w:r w:rsidR="003F3E31">
        <w:rPr>
          <w:rFonts w:cs="Arial"/>
          <w:sz w:val="22"/>
          <w:szCs w:val="22"/>
        </w:rPr>
        <w:t xml:space="preserve"> in mainstream not specialist provision</w:t>
      </w:r>
      <w:r>
        <w:rPr>
          <w:rFonts w:cs="Arial"/>
          <w:sz w:val="22"/>
          <w:szCs w:val="22"/>
        </w:rPr>
        <w:t>,</w:t>
      </w:r>
      <w:r w:rsidRPr="006C1D2E">
        <w:rPr>
          <w:rFonts w:cs="Arial"/>
          <w:sz w:val="22"/>
          <w:szCs w:val="22"/>
        </w:rPr>
        <w:t xml:space="preserve"> is expected to contribute element 2 funding currently at a value of £6,000</w:t>
      </w:r>
      <w:r>
        <w:rPr>
          <w:rFonts w:cs="Arial"/>
          <w:sz w:val="22"/>
          <w:szCs w:val="22"/>
        </w:rPr>
        <w:t xml:space="preserve"> to the cost of additional needs</w:t>
      </w:r>
      <w:r w:rsidRPr="006C1D2E">
        <w:rPr>
          <w:rFonts w:cs="Arial"/>
          <w:sz w:val="22"/>
          <w:szCs w:val="22"/>
        </w:rPr>
        <w:t>.</w:t>
      </w:r>
      <w:r>
        <w:rPr>
          <w:rFonts w:cs="Arial"/>
          <w:sz w:val="22"/>
          <w:szCs w:val="22"/>
        </w:rPr>
        <w:t xml:space="preserve"> </w:t>
      </w:r>
    </w:p>
    <w:p w:rsidR="00DF0E19" w:rsidRPr="006C1D2E" w:rsidRDefault="00DF0E19" w:rsidP="00DF0E19">
      <w:pPr>
        <w:pStyle w:val="ListParagraph"/>
        <w:spacing w:after="200" w:line="276" w:lineRule="auto"/>
        <w:ind w:left="360"/>
        <w:jc w:val="both"/>
        <w:rPr>
          <w:rFonts w:cs="Arial"/>
          <w:sz w:val="22"/>
          <w:szCs w:val="22"/>
        </w:rPr>
      </w:pPr>
    </w:p>
    <w:p w:rsidR="000707A8" w:rsidRDefault="00DF0E19" w:rsidP="000707A8">
      <w:pPr>
        <w:pStyle w:val="ListParagraph"/>
        <w:numPr>
          <w:ilvl w:val="0"/>
          <w:numId w:val="28"/>
        </w:numPr>
        <w:spacing w:after="200" w:line="276" w:lineRule="auto"/>
        <w:jc w:val="both"/>
        <w:rPr>
          <w:rFonts w:cs="Arial"/>
          <w:sz w:val="22"/>
          <w:szCs w:val="22"/>
        </w:rPr>
      </w:pPr>
      <w:r w:rsidRPr="003B75EF">
        <w:rPr>
          <w:rFonts w:cs="Arial"/>
          <w:sz w:val="22"/>
          <w:szCs w:val="22"/>
        </w:rPr>
        <w:t xml:space="preserve">The bottom </w:t>
      </w:r>
      <w:r w:rsidR="003F3E31">
        <w:rPr>
          <w:rFonts w:cs="Arial"/>
          <w:sz w:val="22"/>
          <w:szCs w:val="22"/>
        </w:rPr>
        <w:t>‘</w:t>
      </w:r>
      <w:r w:rsidRPr="003B75EF">
        <w:rPr>
          <w:rFonts w:cs="Arial"/>
          <w:sz w:val="22"/>
          <w:szCs w:val="22"/>
        </w:rPr>
        <w:t>threshold</w:t>
      </w:r>
      <w:r w:rsidR="003F3E31">
        <w:rPr>
          <w:rFonts w:cs="Arial"/>
          <w:sz w:val="22"/>
          <w:szCs w:val="22"/>
        </w:rPr>
        <w:t>’</w:t>
      </w:r>
      <w:r w:rsidRPr="003B75EF">
        <w:rPr>
          <w:rFonts w:cs="Arial"/>
          <w:sz w:val="22"/>
          <w:szCs w:val="22"/>
        </w:rPr>
        <w:t xml:space="preserve"> for the 1</w:t>
      </w:r>
      <w:r w:rsidRPr="003B75EF">
        <w:rPr>
          <w:rFonts w:cs="Arial"/>
          <w:sz w:val="22"/>
          <w:szCs w:val="22"/>
          <w:vertAlign w:val="superscript"/>
        </w:rPr>
        <w:t>st</w:t>
      </w:r>
      <w:r w:rsidR="003F3E31">
        <w:rPr>
          <w:rFonts w:cs="Arial"/>
          <w:sz w:val="22"/>
          <w:szCs w:val="22"/>
        </w:rPr>
        <w:t xml:space="preserve"> step of Band </w:t>
      </w:r>
      <w:r w:rsidRPr="003B75EF">
        <w:rPr>
          <w:rFonts w:cs="Arial"/>
          <w:sz w:val="22"/>
          <w:szCs w:val="22"/>
        </w:rPr>
        <w:t>3</w:t>
      </w:r>
      <w:r w:rsidR="003F3E31">
        <w:rPr>
          <w:rFonts w:cs="Arial"/>
          <w:sz w:val="22"/>
          <w:szCs w:val="22"/>
        </w:rPr>
        <w:t xml:space="preserve"> </w:t>
      </w:r>
      <w:r w:rsidR="000707A8">
        <w:rPr>
          <w:rFonts w:cs="Arial"/>
          <w:sz w:val="22"/>
          <w:szCs w:val="22"/>
        </w:rPr>
        <w:t xml:space="preserve">(3 </w:t>
      </w:r>
      <w:r w:rsidRPr="003B75EF">
        <w:rPr>
          <w:rFonts w:cs="Arial"/>
          <w:sz w:val="22"/>
          <w:szCs w:val="22"/>
        </w:rPr>
        <w:t>L</w:t>
      </w:r>
      <w:r w:rsidR="003F3E31">
        <w:rPr>
          <w:rFonts w:cs="Arial"/>
          <w:sz w:val="22"/>
          <w:szCs w:val="22"/>
        </w:rPr>
        <w:t>ow</w:t>
      </w:r>
      <w:r w:rsidR="000707A8">
        <w:rPr>
          <w:rFonts w:cs="Arial"/>
          <w:sz w:val="22"/>
          <w:szCs w:val="22"/>
        </w:rPr>
        <w:t>)</w:t>
      </w:r>
      <w:r w:rsidR="00207EEB">
        <w:rPr>
          <w:rFonts w:cs="Arial"/>
          <w:sz w:val="22"/>
          <w:szCs w:val="22"/>
        </w:rPr>
        <w:t xml:space="preserve"> is</w:t>
      </w:r>
      <w:r w:rsidRPr="003B75EF">
        <w:rPr>
          <w:rFonts w:cs="Arial"/>
          <w:sz w:val="22"/>
          <w:szCs w:val="22"/>
        </w:rPr>
        <w:t xml:space="preserve"> 16 hours</w:t>
      </w:r>
      <w:r w:rsidR="003F3E31">
        <w:rPr>
          <w:rFonts w:cs="Arial"/>
          <w:sz w:val="22"/>
          <w:szCs w:val="22"/>
        </w:rPr>
        <w:t xml:space="preserve"> of support a week, which is the same as the current model. The new model </w:t>
      </w:r>
      <w:r w:rsidR="00B52CAF">
        <w:rPr>
          <w:rFonts w:cs="Arial"/>
          <w:sz w:val="22"/>
          <w:szCs w:val="22"/>
        </w:rPr>
        <w:t xml:space="preserve">itself </w:t>
      </w:r>
      <w:r w:rsidR="003F3E31">
        <w:rPr>
          <w:rFonts w:cs="Arial"/>
          <w:sz w:val="22"/>
          <w:szCs w:val="22"/>
        </w:rPr>
        <w:t>does not change the thr</w:t>
      </w:r>
      <w:r w:rsidR="00524427">
        <w:rPr>
          <w:rFonts w:cs="Arial"/>
          <w:sz w:val="22"/>
          <w:szCs w:val="22"/>
        </w:rPr>
        <w:t>eshold at which EHCP funding can</w:t>
      </w:r>
      <w:r w:rsidR="003F3E31">
        <w:rPr>
          <w:rFonts w:cs="Arial"/>
          <w:sz w:val="22"/>
          <w:szCs w:val="22"/>
        </w:rPr>
        <w:t xml:space="preserve"> initiate</w:t>
      </w:r>
      <w:r w:rsidR="00237167">
        <w:rPr>
          <w:rFonts w:cs="Arial"/>
          <w:sz w:val="22"/>
          <w:szCs w:val="22"/>
        </w:rPr>
        <w:t xml:space="preserve"> nor does it change the point</w:t>
      </w:r>
      <w:r w:rsidR="00393B38">
        <w:rPr>
          <w:rFonts w:cs="Arial"/>
          <w:sz w:val="22"/>
          <w:szCs w:val="22"/>
        </w:rPr>
        <w:t>s</w:t>
      </w:r>
      <w:r w:rsidR="00237167">
        <w:rPr>
          <w:rFonts w:cs="Arial"/>
          <w:sz w:val="22"/>
          <w:szCs w:val="22"/>
        </w:rPr>
        <w:t xml:space="preserve"> of access to an</w:t>
      </w:r>
      <w:r w:rsidR="00B52CAF">
        <w:rPr>
          <w:rFonts w:cs="Arial"/>
          <w:sz w:val="22"/>
          <w:szCs w:val="22"/>
        </w:rPr>
        <w:t xml:space="preserve"> EHCP. It purely changes the options that are available to the </w:t>
      </w:r>
      <w:r w:rsidR="00281907">
        <w:rPr>
          <w:rFonts w:cs="Arial"/>
          <w:sz w:val="22"/>
          <w:szCs w:val="22"/>
        </w:rPr>
        <w:t xml:space="preserve">SEND </w:t>
      </w:r>
      <w:r w:rsidR="00B52CAF">
        <w:rPr>
          <w:rFonts w:cs="Arial"/>
          <w:sz w:val="22"/>
          <w:szCs w:val="22"/>
        </w:rPr>
        <w:t>Panel to use to ensure that</w:t>
      </w:r>
      <w:r w:rsidR="00237167">
        <w:rPr>
          <w:rFonts w:cs="Arial"/>
          <w:sz w:val="22"/>
          <w:szCs w:val="22"/>
        </w:rPr>
        <w:t xml:space="preserve"> </w:t>
      </w:r>
      <w:r w:rsidR="00281907">
        <w:rPr>
          <w:rFonts w:cs="Arial"/>
          <w:sz w:val="22"/>
          <w:szCs w:val="22"/>
        </w:rPr>
        <w:t xml:space="preserve">an </w:t>
      </w:r>
      <w:r w:rsidR="00237167">
        <w:rPr>
          <w:rFonts w:cs="Arial"/>
          <w:sz w:val="22"/>
          <w:szCs w:val="22"/>
        </w:rPr>
        <w:t>EHCP</w:t>
      </w:r>
      <w:r w:rsidR="00281907">
        <w:rPr>
          <w:rFonts w:cs="Arial"/>
          <w:sz w:val="22"/>
          <w:szCs w:val="22"/>
        </w:rPr>
        <w:t xml:space="preserve"> is appropriately and</w:t>
      </w:r>
      <w:r w:rsidR="00B52CAF">
        <w:rPr>
          <w:rFonts w:cs="Arial"/>
          <w:sz w:val="22"/>
          <w:szCs w:val="22"/>
        </w:rPr>
        <w:t xml:space="preserve"> accurately funded</w:t>
      </w:r>
      <w:r w:rsidR="003F3E31">
        <w:rPr>
          <w:rFonts w:cs="Arial"/>
          <w:sz w:val="22"/>
          <w:szCs w:val="22"/>
        </w:rPr>
        <w:t>.</w:t>
      </w:r>
    </w:p>
    <w:p w:rsidR="000707A8" w:rsidRDefault="000707A8" w:rsidP="000707A8">
      <w:pPr>
        <w:pStyle w:val="ListParagraph"/>
        <w:spacing w:after="200" w:line="276" w:lineRule="auto"/>
        <w:ind w:left="360"/>
        <w:jc w:val="both"/>
        <w:rPr>
          <w:rFonts w:cs="Arial"/>
          <w:sz w:val="22"/>
          <w:szCs w:val="22"/>
        </w:rPr>
      </w:pPr>
    </w:p>
    <w:p w:rsidR="000707A8" w:rsidRDefault="003F3E31" w:rsidP="000707A8">
      <w:pPr>
        <w:pStyle w:val="ListParagraph"/>
        <w:numPr>
          <w:ilvl w:val="0"/>
          <w:numId w:val="28"/>
        </w:numPr>
        <w:spacing w:after="200" w:line="276" w:lineRule="auto"/>
        <w:jc w:val="both"/>
        <w:rPr>
          <w:rFonts w:cs="Arial"/>
          <w:sz w:val="22"/>
          <w:szCs w:val="22"/>
        </w:rPr>
      </w:pPr>
      <w:r w:rsidRPr="000707A8">
        <w:rPr>
          <w:rFonts w:cs="Arial"/>
          <w:sz w:val="22"/>
          <w:szCs w:val="22"/>
        </w:rPr>
        <w:t>The relationship</w:t>
      </w:r>
      <w:r w:rsidR="000707A8" w:rsidRPr="000707A8">
        <w:rPr>
          <w:rFonts w:cs="Arial"/>
          <w:sz w:val="22"/>
          <w:szCs w:val="22"/>
        </w:rPr>
        <w:t>s</w:t>
      </w:r>
      <w:r w:rsidRPr="000707A8">
        <w:rPr>
          <w:rFonts w:cs="Arial"/>
          <w:sz w:val="22"/>
          <w:szCs w:val="22"/>
        </w:rPr>
        <w:t xml:space="preserve"> between the 6 s</w:t>
      </w:r>
      <w:r w:rsidR="000707A8" w:rsidRPr="000707A8">
        <w:rPr>
          <w:rFonts w:cs="Arial"/>
          <w:sz w:val="22"/>
          <w:szCs w:val="22"/>
        </w:rPr>
        <w:t>teps in the new model (the size</w:t>
      </w:r>
      <w:r w:rsidRPr="000707A8">
        <w:rPr>
          <w:rFonts w:cs="Arial"/>
          <w:sz w:val="22"/>
          <w:szCs w:val="22"/>
        </w:rPr>
        <w:t xml:space="preserve"> of the gaps</w:t>
      </w:r>
      <w:r w:rsidR="000707A8" w:rsidRPr="000707A8">
        <w:rPr>
          <w:rFonts w:cs="Arial"/>
          <w:sz w:val="22"/>
          <w:szCs w:val="22"/>
        </w:rPr>
        <w:t xml:space="preserve"> between them</w:t>
      </w:r>
      <w:r w:rsidRPr="000707A8">
        <w:rPr>
          <w:rFonts w:cs="Arial"/>
          <w:sz w:val="22"/>
          <w:szCs w:val="22"/>
        </w:rPr>
        <w:t>) remain similar to the current model</w:t>
      </w:r>
      <w:r w:rsidR="00207EEB">
        <w:rPr>
          <w:rFonts w:cs="Arial"/>
          <w:sz w:val="22"/>
          <w:szCs w:val="22"/>
        </w:rPr>
        <w:t>, with</w:t>
      </w:r>
      <w:r w:rsidR="00524427" w:rsidRPr="000707A8">
        <w:rPr>
          <w:rFonts w:cs="Arial"/>
          <w:sz w:val="22"/>
          <w:szCs w:val="22"/>
        </w:rPr>
        <w:t xml:space="preserve"> the exception of the 1</w:t>
      </w:r>
      <w:r w:rsidR="00524427" w:rsidRPr="000707A8">
        <w:rPr>
          <w:rFonts w:cs="Arial"/>
          <w:sz w:val="22"/>
          <w:szCs w:val="22"/>
          <w:vertAlign w:val="superscript"/>
        </w:rPr>
        <w:t>st</w:t>
      </w:r>
      <w:r w:rsidR="00524427" w:rsidRPr="000707A8">
        <w:rPr>
          <w:rFonts w:cs="Arial"/>
          <w:sz w:val="22"/>
          <w:szCs w:val="22"/>
        </w:rPr>
        <w:t xml:space="preserve"> two steps in Band 3, which are uplifted</w:t>
      </w:r>
      <w:r w:rsidRPr="000707A8">
        <w:rPr>
          <w:rFonts w:cs="Arial"/>
          <w:sz w:val="22"/>
          <w:szCs w:val="22"/>
        </w:rPr>
        <w:t xml:space="preserve">. </w:t>
      </w:r>
      <w:r w:rsidR="00524427" w:rsidRPr="000707A8">
        <w:rPr>
          <w:rFonts w:cs="Arial"/>
          <w:sz w:val="22"/>
          <w:szCs w:val="22"/>
        </w:rPr>
        <w:t>However, t</w:t>
      </w:r>
      <w:r w:rsidRPr="000707A8">
        <w:rPr>
          <w:rFonts w:cs="Arial"/>
          <w:sz w:val="22"/>
          <w:szCs w:val="22"/>
        </w:rPr>
        <w:t>he ratio of the first step in Band 4 (4L)</w:t>
      </w:r>
      <w:r w:rsidR="00524427" w:rsidRPr="000707A8">
        <w:rPr>
          <w:rFonts w:cs="Arial"/>
          <w:sz w:val="22"/>
          <w:szCs w:val="22"/>
        </w:rPr>
        <w:t>, bottom of specialist,</w:t>
      </w:r>
      <w:r w:rsidRPr="000707A8">
        <w:rPr>
          <w:rFonts w:cs="Arial"/>
          <w:sz w:val="22"/>
          <w:szCs w:val="22"/>
        </w:rPr>
        <w:t xml:space="preserve"> to the final step in Band 3 (3H),</w:t>
      </w:r>
      <w:r w:rsidR="00524427" w:rsidRPr="000707A8">
        <w:rPr>
          <w:rFonts w:cs="Arial"/>
          <w:sz w:val="22"/>
          <w:szCs w:val="22"/>
        </w:rPr>
        <w:t xml:space="preserve"> top of mainstream,</w:t>
      </w:r>
      <w:r w:rsidRPr="000707A8">
        <w:rPr>
          <w:rFonts w:cs="Arial"/>
          <w:sz w:val="22"/>
          <w:szCs w:val="22"/>
        </w:rPr>
        <w:t xml:space="preserve"> has the same ratio to the cur</w:t>
      </w:r>
      <w:r w:rsidR="00524427" w:rsidRPr="000707A8">
        <w:rPr>
          <w:rFonts w:cs="Arial"/>
          <w:sz w:val="22"/>
          <w:szCs w:val="22"/>
        </w:rPr>
        <w:t>rent Range 4D, bottom of specialist, compared against Range 4C, top of mainstream</w:t>
      </w:r>
      <w:r w:rsidRPr="000707A8">
        <w:rPr>
          <w:rFonts w:cs="Arial"/>
          <w:sz w:val="22"/>
          <w:szCs w:val="22"/>
        </w:rPr>
        <w:t>.</w:t>
      </w:r>
      <w:r w:rsidR="000707A8" w:rsidRPr="000707A8">
        <w:rPr>
          <w:rFonts w:cs="Arial"/>
          <w:sz w:val="22"/>
          <w:szCs w:val="22"/>
        </w:rPr>
        <w:t xml:space="preserve"> The ratios of the Band 4 values</w:t>
      </w:r>
      <w:r w:rsidR="00207EEB">
        <w:rPr>
          <w:rFonts w:cs="Arial"/>
          <w:sz w:val="22"/>
          <w:szCs w:val="22"/>
        </w:rPr>
        <w:t xml:space="preserve"> to each other are then the same as Range 4D, Range</w:t>
      </w:r>
      <w:r w:rsidR="00D63721">
        <w:rPr>
          <w:rFonts w:cs="Arial"/>
          <w:sz w:val="22"/>
          <w:szCs w:val="22"/>
        </w:rPr>
        <w:t xml:space="preserve"> 5</w:t>
      </w:r>
      <w:r w:rsidR="00207EEB">
        <w:rPr>
          <w:rFonts w:cs="Arial"/>
          <w:sz w:val="22"/>
          <w:szCs w:val="22"/>
        </w:rPr>
        <w:t xml:space="preserve"> and Range 6</w:t>
      </w:r>
      <w:r w:rsidR="000707A8" w:rsidRPr="000707A8">
        <w:rPr>
          <w:rFonts w:cs="Arial"/>
          <w:sz w:val="22"/>
          <w:szCs w:val="22"/>
        </w:rPr>
        <w:t>.</w:t>
      </w:r>
    </w:p>
    <w:p w:rsidR="000707A8" w:rsidRDefault="000707A8" w:rsidP="000707A8">
      <w:pPr>
        <w:pStyle w:val="ListParagraph"/>
        <w:spacing w:after="200" w:line="276" w:lineRule="auto"/>
        <w:ind w:left="360"/>
        <w:jc w:val="both"/>
        <w:rPr>
          <w:rFonts w:cs="Arial"/>
          <w:sz w:val="22"/>
          <w:szCs w:val="22"/>
        </w:rPr>
      </w:pPr>
    </w:p>
    <w:p w:rsidR="000707A8" w:rsidRDefault="000707A8" w:rsidP="000707A8">
      <w:pPr>
        <w:pStyle w:val="ListParagraph"/>
        <w:numPr>
          <w:ilvl w:val="0"/>
          <w:numId w:val="28"/>
        </w:numPr>
        <w:spacing w:after="200" w:line="276" w:lineRule="auto"/>
        <w:jc w:val="both"/>
        <w:rPr>
          <w:rFonts w:cs="Arial"/>
          <w:sz w:val="22"/>
          <w:szCs w:val="22"/>
        </w:rPr>
      </w:pPr>
      <w:r w:rsidRPr="000707A8">
        <w:rPr>
          <w:rFonts w:cs="Arial"/>
          <w:sz w:val="22"/>
          <w:szCs w:val="22"/>
        </w:rPr>
        <w:t>For the top-up funding of post 16 high needs students with EHCPs in the Further Education sector, it has been agreed previously with the relevant providers that, as, on average, colleges deliver around 60% of the hours delivered by schools, colleges are funded for the vast majority of students at 60% of the Banded Model value for the primary need of the student. The exceptions are students with the primary need of sensory impairment (Hearing / Visual), where funding continues to be allocated on an actual cost basis. Due to the specific support needs of these students in Further Education, and the diverse nature of their curriculum choices, it is not possible to formularise this funding element. We propose to continue this approach in the application of the new Banded Model from April 2020</w:t>
      </w:r>
      <w:r>
        <w:rPr>
          <w:rFonts w:cs="Arial"/>
          <w:sz w:val="22"/>
          <w:szCs w:val="22"/>
        </w:rPr>
        <w:t>.</w:t>
      </w:r>
    </w:p>
    <w:p w:rsidR="000707A8" w:rsidRDefault="000707A8" w:rsidP="000707A8">
      <w:pPr>
        <w:pStyle w:val="ListParagraph"/>
        <w:spacing w:after="200" w:line="276" w:lineRule="auto"/>
        <w:ind w:left="360"/>
        <w:jc w:val="both"/>
        <w:rPr>
          <w:rFonts w:cs="Arial"/>
          <w:sz w:val="22"/>
          <w:szCs w:val="22"/>
        </w:rPr>
      </w:pPr>
    </w:p>
    <w:p w:rsidR="000707A8" w:rsidRPr="000707A8" w:rsidRDefault="000707A8" w:rsidP="000707A8">
      <w:pPr>
        <w:pStyle w:val="ListParagraph"/>
        <w:numPr>
          <w:ilvl w:val="0"/>
          <w:numId w:val="28"/>
        </w:numPr>
        <w:spacing w:after="200" w:line="276" w:lineRule="auto"/>
        <w:jc w:val="both"/>
        <w:rPr>
          <w:rFonts w:cs="Arial"/>
          <w:sz w:val="22"/>
          <w:szCs w:val="22"/>
        </w:rPr>
      </w:pPr>
      <w:r>
        <w:rPr>
          <w:rFonts w:cs="Arial"/>
          <w:sz w:val="22"/>
          <w:szCs w:val="22"/>
        </w:rPr>
        <w:t>W</w:t>
      </w:r>
      <w:r w:rsidRPr="003B75EF">
        <w:rPr>
          <w:rFonts w:cs="Arial"/>
          <w:sz w:val="22"/>
          <w:szCs w:val="22"/>
        </w:rPr>
        <w:t>e are not adjusting</w:t>
      </w:r>
      <w:r>
        <w:rPr>
          <w:rFonts w:cs="Arial"/>
          <w:sz w:val="22"/>
          <w:szCs w:val="22"/>
        </w:rPr>
        <w:t xml:space="preserve"> in 2020/21</w:t>
      </w:r>
      <w:r w:rsidRPr="003B75EF">
        <w:rPr>
          <w:rFonts w:cs="Arial"/>
          <w:sz w:val="22"/>
          <w:szCs w:val="22"/>
        </w:rPr>
        <w:t xml:space="preserve"> notional SEND or SEND Floor arrangements in respect of mainstream formula funding and its relationship with the EHCP model. </w:t>
      </w:r>
      <w:r w:rsidR="00D63721">
        <w:rPr>
          <w:rFonts w:cs="Arial"/>
          <w:sz w:val="22"/>
          <w:szCs w:val="22"/>
        </w:rPr>
        <w:t>Adjustment may take place in future.</w:t>
      </w:r>
    </w:p>
    <w:p w:rsidR="00DF0E19" w:rsidRPr="003B75EF" w:rsidRDefault="00DF0E19" w:rsidP="00DF0E19">
      <w:pPr>
        <w:pStyle w:val="ListParagraph"/>
        <w:spacing w:after="200" w:line="276" w:lineRule="auto"/>
        <w:ind w:left="360"/>
        <w:jc w:val="both"/>
        <w:rPr>
          <w:rFonts w:cs="Arial"/>
          <w:sz w:val="22"/>
          <w:szCs w:val="22"/>
        </w:rPr>
      </w:pPr>
    </w:p>
    <w:p w:rsidR="00FC49FC" w:rsidRDefault="00DF0E19" w:rsidP="000707A8">
      <w:pPr>
        <w:pStyle w:val="ListParagraph"/>
        <w:numPr>
          <w:ilvl w:val="0"/>
          <w:numId w:val="28"/>
        </w:numPr>
        <w:spacing w:after="200" w:line="276" w:lineRule="auto"/>
        <w:jc w:val="both"/>
        <w:rPr>
          <w:rFonts w:cs="Arial"/>
          <w:sz w:val="22"/>
          <w:szCs w:val="22"/>
        </w:rPr>
      </w:pPr>
      <w:r w:rsidRPr="003B75EF">
        <w:rPr>
          <w:rFonts w:cs="Arial"/>
          <w:sz w:val="22"/>
          <w:szCs w:val="22"/>
        </w:rPr>
        <w:t>We will apply the same ‘technical f</w:t>
      </w:r>
      <w:r w:rsidR="000A28E1">
        <w:rPr>
          <w:rFonts w:cs="Arial"/>
          <w:sz w:val="22"/>
          <w:szCs w:val="22"/>
        </w:rPr>
        <w:t xml:space="preserve">ramework’ as now for the </w:t>
      </w:r>
      <w:r w:rsidRPr="003B75EF">
        <w:rPr>
          <w:rFonts w:cs="Arial"/>
          <w:sz w:val="22"/>
          <w:szCs w:val="22"/>
        </w:rPr>
        <w:t>operation of the model during the year e.g. the monthly re-calculation</w:t>
      </w:r>
      <w:r w:rsidR="00FC49FC">
        <w:rPr>
          <w:rFonts w:cs="Arial"/>
          <w:sz w:val="22"/>
          <w:szCs w:val="22"/>
        </w:rPr>
        <w:t xml:space="preserve"> of EHCP funding from the c</w:t>
      </w:r>
      <w:r w:rsidRPr="003B75EF">
        <w:rPr>
          <w:rFonts w:cs="Arial"/>
          <w:sz w:val="22"/>
          <w:szCs w:val="22"/>
        </w:rPr>
        <w:t>ensus</w:t>
      </w:r>
      <w:r w:rsidR="00D63721">
        <w:rPr>
          <w:rFonts w:cs="Arial"/>
          <w:sz w:val="22"/>
          <w:szCs w:val="22"/>
        </w:rPr>
        <w:t xml:space="preserve"> of EHCPs on roll</w:t>
      </w:r>
      <w:r w:rsidRPr="003B75EF">
        <w:rPr>
          <w:rFonts w:cs="Arial"/>
          <w:sz w:val="22"/>
          <w:szCs w:val="22"/>
        </w:rPr>
        <w:t xml:space="preserve"> on 10</w:t>
      </w:r>
      <w:r w:rsidRPr="003B75EF">
        <w:rPr>
          <w:rFonts w:cs="Arial"/>
          <w:sz w:val="22"/>
          <w:szCs w:val="22"/>
          <w:vertAlign w:val="superscript"/>
        </w:rPr>
        <w:t>th</w:t>
      </w:r>
      <w:r w:rsidR="00FC49FC">
        <w:rPr>
          <w:rFonts w:cs="Arial"/>
          <w:sz w:val="22"/>
          <w:szCs w:val="22"/>
        </w:rPr>
        <w:t xml:space="preserve"> of each month.</w:t>
      </w:r>
    </w:p>
    <w:p w:rsidR="000707A8" w:rsidRPr="000707A8" w:rsidRDefault="000707A8" w:rsidP="000707A8">
      <w:pPr>
        <w:pStyle w:val="ListParagraph"/>
        <w:spacing w:after="200" w:line="276" w:lineRule="auto"/>
        <w:ind w:left="360"/>
        <w:jc w:val="both"/>
        <w:rPr>
          <w:rFonts w:cs="Arial"/>
          <w:sz w:val="22"/>
          <w:szCs w:val="22"/>
        </w:rPr>
      </w:pPr>
    </w:p>
    <w:p w:rsidR="003B75EF" w:rsidRPr="00D378FE" w:rsidRDefault="00FC49FC" w:rsidP="00D378FE">
      <w:pPr>
        <w:pStyle w:val="ListParagraph"/>
        <w:numPr>
          <w:ilvl w:val="0"/>
          <w:numId w:val="28"/>
        </w:numPr>
        <w:spacing w:after="200" w:line="276" w:lineRule="auto"/>
        <w:jc w:val="both"/>
        <w:rPr>
          <w:rFonts w:cs="Arial"/>
          <w:sz w:val="22"/>
          <w:szCs w:val="22"/>
        </w:rPr>
      </w:pPr>
      <w:r w:rsidRPr="003B75EF">
        <w:rPr>
          <w:rFonts w:cs="Arial"/>
          <w:sz w:val="22"/>
          <w:szCs w:val="22"/>
        </w:rPr>
        <w:t>An assessment place (which is currently Range</w:t>
      </w:r>
      <w:r w:rsidR="00D63721">
        <w:rPr>
          <w:rFonts w:cs="Arial"/>
          <w:sz w:val="22"/>
          <w:szCs w:val="22"/>
        </w:rPr>
        <w:t xml:space="preserve"> 4D) will</w:t>
      </w:r>
      <w:r w:rsidR="000707A8">
        <w:rPr>
          <w:rFonts w:cs="Arial"/>
          <w:sz w:val="22"/>
          <w:szCs w:val="22"/>
        </w:rPr>
        <w:t xml:space="preserve"> become </w:t>
      </w:r>
      <w:r w:rsidR="00D378FE">
        <w:rPr>
          <w:rFonts w:cs="Arial"/>
          <w:sz w:val="22"/>
          <w:szCs w:val="22"/>
        </w:rPr>
        <w:t xml:space="preserve">Band </w:t>
      </w:r>
      <w:r w:rsidR="000707A8">
        <w:rPr>
          <w:rFonts w:cs="Arial"/>
          <w:sz w:val="22"/>
          <w:szCs w:val="22"/>
        </w:rPr>
        <w:t>4L. This will</w:t>
      </w:r>
      <w:r w:rsidRPr="003B75EF">
        <w:rPr>
          <w:rFonts w:cs="Arial"/>
          <w:sz w:val="22"/>
          <w:szCs w:val="22"/>
        </w:rPr>
        <w:t xml:space="preserve"> fund EHCPs placed in specialist provisions until a final determination of Band from the Panel is received. Funding would be changed at this point if this is different from 4L. Going forward</w:t>
      </w:r>
      <w:r w:rsidR="000707A8">
        <w:rPr>
          <w:rFonts w:cs="Arial"/>
          <w:sz w:val="22"/>
          <w:szCs w:val="22"/>
        </w:rPr>
        <w:t xml:space="preserve"> however,</w:t>
      </w:r>
      <w:r w:rsidRPr="003B75EF">
        <w:rPr>
          <w:rFonts w:cs="Arial"/>
          <w:sz w:val="22"/>
          <w:szCs w:val="22"/>
        </w:rPr>
        <w:t xml:space="preserve"> we only expect to fund assessment places for new arrivals into the district.</w:t>
      </w:r>
    </w:p>
    <w:p w:rsidR="00D378FE" w:rsidRDefault="00D378FE" w:rsidP="00CC0CA3">
      <w:pPr>
        <w:jc w:val="both"/>
        <w:rPr>
          <w:rFonts w:cs="Arial"/>
          <w:b/>
          <w:sz w:val="22"/>
          <w:szCs w:val="22"/>
          <w:u w:val="single"/>
        </w:rPr>
      </w:pPr>
    </w:p>
    <w:p w:rsidR="00CC0CA3" w:rsidRDefault="003B75EF" w:rsidP="00CC0CA3">
      <w:pPr>
        <w:jc w:val="both"/>
        <w:rPr>
          <w:rFonts w:cs="Arial"/>
          <w:b/>
          <w:sz w:val="22"/>
          <w:szCs w:val="22"/>
          <w:u w:val="single"/>
        </w:rPr>
      </w:pPr>
      <w:r w:rsidRPr="00F3262F">
        <w:rPr>
          <w:rFonts w:cs="Arial"/>
          <w:b/>
          <w:sz w:val="22"/>
          <w:szCs w:val="22"/>
          <w:u w:val="single"/>
        </w:rPr>
        <w:t>Implementation / Transition</w:t>
      </w:r>
      <w:r w:rsidR="00D378FE">
        <w:rPr>
          <w:rFonts w:cs="Arial"/>
          <w:b/>
          <w:sz w:val="22"/>
          <w:szCs w:val="22"/>
          <w:u w:val="single"/>
        </w:rPr>
        <w:t xml:space="preserve"> at 1 April 2020</w:t>
      </w:r>
    </w:p>
    <w:p w:rsidR="00CC0CA3" w:rsidRPr="00CC0CA3" w:rsidRDefault="00CC0CA3" w:rsidP="00CC0CA3">
      <w:pPr>
        <w:jc w:val="both"/>
        <w:rPr>
          <w:rFonts w:cs="Arial"/>
          <w:b/>
          <w:sz w:val="22"/>
          <w:szCs w:val="22"/>
          <w:u w:val="single"/>
        </w:rPr>
      </w:pPr>
    </w:p>
    <w:p w:rsidR="00CC0CA3" w:rsidRDefault="00CC0CA3" w:rsidP="00CC0CA3">
      <w:pPr>
        <w:spacing w:after="200" w:line="276" w:lineRule="auto"/>
        <w:jc w:val="both"/>
        <w:rPr>
          <w:rFonts w:cs="Arial"/>
          <w:sz w:val="22"/>
          <w:szCs w:val="22"/>
        </w:rPr>
      </w:pPr>
      <w:r>
        <w:rPr>
          <w:rFonts w:cs="Arial"/>
          <w:sz w:val="22"/>
          <w:szCs w:val="22"/>
        </w:rPr>
        <w:t>3.1 The Authority</w:t>
      </w:r>
      <w:r w:rsidR="003B75EF" w:rsidRPr="00CC0CA3">
        <w:rPr>
          <w:rFonts w:cs="Arial"/>
          <w:sz w:val="22"/>
          <w:szCs w:val="22"/>
        </w:rPr>
        <w:t xml:space="preserve"> aim</w:t>
      </w:r>
      <w:r>
        <w:rPr>
          <w:rFonts w:cs="Arial"/>
          <w:sz w:val="22"/>
          <w:szCs w:val="22"/>
        </w:rPr>
        <w:t>s</w:t>
      </w:r>
      <w:r w:rsidR="003B75EF" w:rsidRPr="00CC0CA3">
        <w:rPr>
          <w:rFonts w:cs="Arial"/>
          <w:sz w:val="22"/>
          <w:szCs w:val="22"/>
        </w:rPr>
        <w:t xml:space="preserve"> to</w:t>
      </w:r>
      <w:r w:rsidRPr="00CC0CA3">
        <w:rPr>
          <w:rFonts w:cs="Arial"/>
          <w:sz w:val="22"/>
          <w:szCs w:val="22"/>
        </w:rPr>
        <w:t xml:space="preserve"> </w:t>
      </w:r>
      <w:r w:rsidR="009B18F3">
        <w:rPr>
          <w:rFonts w:cs="Arial"/>
          <w:sz w:val="22"/>
          <w:szCs w:val="22"/>
        </w:rPr>
        <w:t>adopt the proposed new model as quickly as possible and to use this as</w:t>
      </w:r>
      <w:r w:rsidR="003B75EF" w:rsidRPr="00CC0CA3">
        <w:rPr>
          <w:rFonts w:cs="Arial"/>
          <w:sz w:val="22"/>
          <w:szCs w:val="22"/>
        </w:rPr>
        <w:t xml:space="preserve"> a vehicle to release a proportion of the additional High Needs Block funding that </w:t>
      </w:r>
      <w:r w:rsidR="00967573" w:rsidRPr="00CC0CA3">
        <w:rPr>
          <w:rFonts w:cs="Arial"/>
          <w:sz w:val="22"/>
          <w:szCs w:val="22"/>
        </w:rPr>
        <w:t>is expected</w:t>
      </w:r>
      <w:r w:rsidR="003B75EF" w:rsidRPr="00CC0CA3">
        <w:rPr>
          <w:rFonts w:cs="Arial"/>
          <w:sz w:val="22"/>
          <w:szCs w:val="22"/>
        </w:rPr>
        <w:t xml:space="preserve"> to</w:t>
      </w:r>
      <w:r w:rsidR="00967573" w:rsidRPr="00CC0CA3">
        <w:rPr>
          <w:rFonts w:cs="Arial"/>
          <w:sz w:val="22"/>
          <w:szCs w:val="22"/>
        </w:rPr>
        <w:t xml:space="preserve"> be allocated</w:t>
      </w:r>
      <w:r w:rsidRPr="00CC0CA3">
        <w:rPr>
          <w:rFonts w:cs="Arial"/>
          <w:sz w:val="22"/>
          <w:szCs w:val="22"/>
        </w:rPr>
        <w:t xml:space="preserve"> </w:t>
      </w:r>
      <w:r>
        <w:rPr>
          <w:rFonts w:cs="Arial"/>
          <w:sz w:val="22"/>
          <w:szCs w:val="22"/>
        </w:rPr>
        <w:t xml:space="preserve">to </w:t>
      </w:r>
      <w:r w:rsidRPr="00CC0CA3">
        <w:rPr>
          <w:rFonts w:cs="Arial"/>
          <w:sz w:val="22"/>
          <w:szCs w:val="22"/>
        </w:rPr>
        <w:t>Brad</w:t>
      </w:r>
      <w:r w:rsidR="00E642E9">
        <w:rPr>
          <w:rFonts w:cs="Arial"/>
          <w:sz w:val="22"/>
          <w:szCs w:val="22"/>
        </w:rPr>
        <w:t>ford in</w:t>
      </w:r>
      <w:r w:rsidRPr="00CC0CA3">
        <w:rPr>
          <w:rFonts w:cs="Arial"/>
          <w:sz w:val="22"/>
          <w:szCs w:val="22"/>
        </w:rPr>
        <w:t xml:space="preserve"> 2020/21</w:t>
      </w:r>
      <w:r w:rsidR="003B75EF" w:rsidRPr="00CC0CA3">
        <w:rPr>
          <w:rFonts w:cs="Arial"/>
          <w:sz w:val="22"/>
          <w:szCs w:val="22"/>
        </w:rPr>
        <w:t>.</w:t>
      </w:r>
      <w:r w:rsidRPr="00CC0CA3">
        <w:rPr>
          <w:rFonts w:cs="Arial"/>
          <w:sz w:val="22"/>
          <w:szCs w:val="22"/>
        </w:rPr>
        <w:t xml:space="preserve"> </w:t>
      </w:r>
      <w:r w:rsidR="00960A5D">
        <w:rPr>
          <w:rFonts w:cs="Arial"/>
          <w:sz w:val="22"/>
          <w:szCs w:val="22"/>
        </w:rPr>
        <w:t>The Authority also</w:t>
      </w:r>
      <w:r>
        <w:rPr>
          <w:rFonts w:cs="Arial"/>
          <w:sz w:val="22"/>
          <w:szCs w:val="22"/>
        </w:rPr>
        <w:t>:</w:t>
      </w:r>
    </w:p>
    <w:p w:rsidR="00D378FE" w:rsidRDefault="00D378FE" w:rsidP="00E642E9">
      <w:pPr>
        <w:pStyle w:val="ListParagraph"/>
        <w:numPr>
          <w:ilvl w:val="0"/>
          <w:numId w:val="25"/>
        </w:numPr>
        <w:spacing w:after="200" w:line="276" w:lineRule="auto"/>
        <w:jc w:val="both"/>
        <w:rPr>
          <w:rFonts w:cs="Arial"/>
          <w:sz w:val="22"/>
          <w:szCs w:val="22"/>
        </w:rPr>
      </w:pPr>
      <w:r>
        <w:rPr>
          <w:rFonts w:cs="Arial"/>
          <w:sz w:val="22"/>
          <w:szCs w:val="22"/>
        </w:rPr>
        <w:t>Will ensure that</w:t>
      </w:r>
      <w:r w:rsidR="003B75EF" w:rsidRPr="00CC0CA3">
        <w:rPr>
          <w:rFonts w:cs="Arial"/>
          <w:sz w:val="22"/>
          <w:szCs w:val="22"/>
        </w:rPr>
        <w:t xml:space="preserve"> the values o</w:t>
      </w:r>
      <w:r w:rsidR="00CC0CA3" w:rsidRPr="00CC0CA3">
        <w:rPr>
          <w:rFonts w:cs="Arial"/>
          <w:sz w:val="22"/>
          <w:szCs w:val="22"/>
        </w:rPr>
        <w:t>f existing</w:t>
      </w:r>
      <w:r>
        <w:rPr>
          <w:rFonts w:cs="Arial"/>
          <w:sz w:val="22"/>
          <w:szCs w:val="22"/>
        </w:rPr>
        <w:t xml:space="preserve"> EHCPs will not</w:t>
      </w:r>
      <w:r w:rsidR="003B75EF" w:rsidRPr="00CC0CA3">
        <w:rPr>
          <w:rFonts w:cs="Arial"/>
          <w:sz w:val="22"/>
          <w:szCs w:val="22"/>
        </w:rPr>
        <w:t xml:space="preserve"> reduce </w:t>
      </w:r>
      <w:r w:rsidR="00CC0CA3" w:rsidRPr="00CC0CA3">
        <w:rPr>
          <w:rFonts w:cs="Arial"/>
          <w:sz w:val="22"/>
          <w:szCs w:val="22"/>
        </w:rPr>
        <w:t>as a result of model change</w:t>
      </w:r>
      <w:r>
        <w:rPr>
          <w:rFonts w:cs="Arial"/>
          <w:sz w:val="22"/>
          <w:szCs w:val="22"/>
        </w:rPr>
        <w:t>. This includes</w:t>
      </w:r>
      <w:r w:rsidR="00CC0CA3" w:rsidRPr="00CC0CA3">
        <w:rPr>
          <w:rFonts w:cs="Arial"/>
          <w:sz w:val="22"/>
          <w:szCs w:val="22"/>
        </w:rPr>
        <w:t xml:space="preserve"> being careful </w:t>
      </w:r>
      <w:r w:rsidR="00CC0CA3">
        <w:rPr>
          <w:rFonts w:cs="Arial"/>
          <w:sz w:val="22"/>
          <w:szCs w:val="22"/>
        </w:rPr>
        <w:t xml:space="preserve">to ensure that </w:t>
      </w:r>
      <w:r w:rsidR="00CC0CA3" w:rsidRPr="00CC0CA3">
        <w:rPr>
          <w:rFonts w:cs="Arial"/>
          <w:sz w:val="22"/>
          <w:szCs w:val="22"/>
        </w:rPr>
        <w:t>any protection initially given is not</w:t>
      </w:r>
      <w:r w:rsidR="003B75EF" w:rsidRPr="00CC0CA3">
        <w:rPr>
          <w:rFonts w:cs="Arial"/>
          <w:sz w:val="22"/>
          <w:szCs w:val="22"/>
        </w:rPr>
        <w:t xml:space="preserve"> erode</w:t>
      </w:r>
      <w:r w:rsidR="00CC0CA3" w:rsidRPr="00CC0CA3">
        <w:rPr>
          <w:rFonts w:cs="Arial"/>
          <w:sz w:val="22"/>
          <w:szCs w:val="22"/>
        </w:rPr>
        <w:t>d</w:t>
      </w:r>
      <w:r w:rsidR="003B75EF" w:rsidRPr="00CC0CA3">
        <w:rPr>
          <w:rFonts w:cs="Arial"/>
          <w:sz w:val="22"/>
          <w:szCs w:val="22"/>
        </w:rPr>
        <w:t xml:space="preserve"> over time</w:t>
      </w:r>
      <w:r w:rsidR="00CC0CA3" w:rsidRPr="00CC0CA3">
        <w:rPr>
          <w:rFonts w:cs="Arial"/>
          <w:sz w:val="22"/>
          <w:szCs w:val="22"/>
        </w:rPr>
        <w:t>.</w:t>
      </w:r>
    </w:p>
    <w:p w:rsidR="000A28E1" w:rsidRPr="00E642E9" w:rsidRDefault="000A28E1" w:rsidP="000A28E1">
      <w:pPr>
        <w:pStyle w:val="ListParagraph"/>
        <w:spacing w:after="200" w:line="276" w:lineRule="auto"/>
        <w:ind w:left="360"/>
        <w:jc w:val="both"/>
        <w:rPr>
          <w:rFonts w:cs="Arial"/>
          <w:sz w:val="22"/>
          <w:szCs w:val="22"/>
        </w:rPr>
      </w:pPr>
    </w:p>
    <w:p w:rsidR="00D378FE" w:rsidRDefault="00D378FE" w:rsidP="00E642E9">
      <w:pPr>
        <w:pStyle w:val="ListParagraph"/>
        <w:numPr>
          <w:ilvl w:val="0"/>
          <w:numId w:val="25"/>
        </w:numPr>
        <w:spacing w:after="200" w:line="276" w:lineRule="auto"/>
        <w:jc w:val="both"/>
        <w:rPr>
          <w:rFonts w:cs="Arial"/>
          <w:sz w:val="22"/>
          <w:szCs w:val="22"/>
        </w:rPr>
      </w:pPr>
      <w:r>
        <w:rPr>
          <w:rFonts w:cs="Arial"/>
          <w:sz w:val="22"/>
          <w:szCs w:val="22"/>
        </w:rPr>
        <w:t>Must c</w:t>
      </w:r>
      <w:r w:rsidRPr="003B75EF">
        <w:rPr>
          <w:rFonts w:cs="Arial"/>
          <w:sz w:val="22"/>
          <w:szCs w:val="22"/>
        </w:rPr>
        <w:t>omply with the requirem</w:t>
      </w:r>
      <w:r>
        <w:rPr>
          <w:rFonts w:cs="Arial"/>
          <w:sz w:val="22"/>
          <w:szCs w:val="22"/>
        </w:rPr>
        <w:t>ents of the special school Minimum Funding Guarantee.</w:t>
      </w:r>
    </w:p>
    <w:p w:rsidR="00E642E9" w:rsidRPr="00E642E9" w:rsidRDefault="00E642E9" w:rsidP="00E642E9">
      <w:pPr>
        <w:pStyle w:val="ListParagraph"/>
        <w:spacing w:after="200" w:line="276" w:lineRule="auto"/>
        <w:ind w:left="360"/>
        <w:jc w:val="both"/>
        <w:rPr>
          <w:rFonts w:cs="Arial"/>
          <w:sz w:val="22"/>
          <w:szCs w:val="22"/>
        </w:rPr>
      </w:pPr>
    </w:p>
    <w:p w:rsidR="00D378FE" w:rsidRPr="003B75EF" w:rsidRDefault="00D378FE" w:rsidP="00D378FE">
      <w:pPr>
        <w:pStyle w:val="ListParagraph"/>
        <w:numPr>
          <w:ilvl w:val="0"/>
          <w:numId w:val="25"/>
        </w:numPr>
        <w:spacing w:after="200" w:line="276" w:lineRule="auto"/>
        <w:jc w:val="both"/>
        <w:rPr>
          <w:rFonts w:cs="Arial"/>
          <w:sz w:val="22"/>
          <w:szCs w:val="22"/>
        </w:rPr>
      </w:pPr>
      <w:r>
        <w:rPr>
          <w:rFonts w:cs="Arial"/>
          <w:sz w:val="22"/>
          <w:szCs w:val="22"/>
        </w:rPr>
        <w:t>Would like to a</w:t>
      </w:r>
      <w:r w:rsidRPr="003B75EF">
        <w:rPr>
          <w:rFonts w:cs="Arial"/>
          <w:sz w:val="22"/>
          <w:szCs w:val="22"/>
        </w:rPr>
        <w:t>void the</w:t>
      </w:r>
      <w:r>
        <w:rPr>
          <w:rFonts w:cs="Arial"/>
          <w:sz w:val="22"/>
          <w:szCs w:val="22"/>
        </w:rPr>
        <w:t xml:space="preserve"> complication of</w:t>
      </w:r>
      <w:r w:rsidRPr="003B75EF">
        <w:rPr>
          <w:rFonts w:cs="Arial"/>
          <w:sz w:val="22"/>
          <w:szCs w:val="22"/>
        </w:rPr>
        <w:t xml:space="preserve"> run</w:t>
      </w:r>
      <w:r>
        <w:rPr>
          <w:rFonts w:cs="Arial"/>
          <w:sz w:val="22"/>
          <w:szCs w:val="22"/>
        </w:rPr>
        <w:t>ning</w:t>
      </w:r>
      <w:r w:rsidRPr="003B75EF">
        <w:rPr>
          <w:rFonts w:cs="Arial"/>
          <w:sz w:val="22"/>
          <w:szCs w:val="22"/>
        </w:rPr>
        <w:t xml:space="preserve"> two sys</w:t>
      </w:r>
      <w:r>
        <w:rPr>
          <w:rFonts w:cs="Arial"/>
          <w:sz w:val="22"/>
          <w:szCs w:val="22"/>
        </w:rPr>
        <w:t>tems.</w:t>
      </w:r>
    </w:p>
    <w:p w:rsidR="00D378FE" w:rsidRDefault="00D378FE" w:rsidP="00D378FE">
      <w:pPr>
        <w:pStyle w:val="ListParagraph"/>
        <w:spacing w:after="200" w:line="276" w:lineRule="auto"/>
        <w:ind w:left="360"/>
        <w:jc w:val="both"/>
        <w:rPr>
          <w:rFonts w:cs="Arial"/>
          <w:sz w:val="22"/>
          <w:szCs w:val="22"/>
        </w:rPr>
      </w:pPr>
    </w:p>
    <w:p w:rsidR="003B75EF" w:rsidRPr="00D378FE" w:rsidRDefault="00D378FE" w:rsidP="00D378FE">
      <w:pPr>
        <w:pStyle w:val="ListParagraph"/>
        <w:numPr>
          <w:ilvl w:val="0"/>
          <w:numId w:val="25"/>
        </w:numPr>
        <w:spacing w:after="200" w:line="276" w:lineRule="auto"/>
        <w:jc w:val="both"/>
        <w:rPr>
          <w:rFonts w:cs="Arial"/>
          <w:sz w:val="22"/>
          <w:szCs w:val="22"/>
        </w:rPr>
      </w:pPr>
      <w:r>
        <w:rPr>
          <w:rFonts w:cs="Arial"/>
          <w:sz w:val="22"/>
          <w:szCs w:val="22"/>
        </w:rPr>
        <w:t>R</w:t>
      </w:r>
      <w:r w:rsidR="00CC0CA3">
        <w:rPr>
          <w:rFonts w:cs="Arial"/>
          <w:sz w:val="22"/>
          <w:szCs w:val="22"/>
        </w:rPr>
        <w:t>ecognise</w:t>
      </w:r>
      <w:r>
        <w:rPr>
          <w:rFonts w:cs="Arial"/>
          <w:sz w:val="22"/>
          <w:szCs w:val="22"/>
        </w:rPr>
        <w:t>s however,</w:t>
      </w:r>
      <w:r w:rsidR="00CC0CA3">
        <w:rPr>
          <w:rFonts w:cs="Arial"/>
          <w:sz w:val="22"/>
          <w:szCs w:val="22"/>
        </w:rPr>
        <w:t xml:space="preserve"> that it</w:t>
      </w:r>
      <w:r w:rsidR="003B75EF" w:rsidRPr="00CC0CA3">
        <w:rPr>
          <w:rFonts w:cs="Arial"/>
          <w:sz w:val="22"/>
          <w:szCs w:val="22"/>
        </w:rPr>
        <w:t xml:space="preserve"> do</w:t>
      </w:r>
      <w:r w:rsidR="00CC0CA3">
        <w:rPr>
          <w:rFonts w:cs="Arial"/>
          <w:sz w:val="22"/>
          <w:szCs w:val="22"/>
        </w:rPr>
        <w:t>es</w:t>
      </w:r>
      <w:r w:rsidR="003B75EF" w:rsidRPr="00CC0CA3">
        <w:rPr>
          <w:rFonts w:cs="Arial"/>
          <w:sz w:val="22"/>
          <w:szCs w:val="22"/>
        </w:rPr>
        <w:t xml:space="preserve"> not have the capacity to convert all existing EHCPs from old to new model via an </w:t>
      </w:r>
      <w:r w:rsidR="00CC0CA3">
        <w:rPr>
          <w:rFonts w:cs="Arial"/>
          <w:sz w:val="22"/>
          <w:szCs w:val="22"/>
        </w:rPr>
        <w:t xml:space="preserve">immediate individual assessment but also must </w:t>
      </w:r>
      <w:r w:rsidR="003B75EF" w:rsidRPr="00CC0CA3">
        <w:rPr>
          <w:rFonts w:cs="Arial"/>
          <w:sz w:val="22"/>
          <w:szCs w:val="22"/>
        </w:rPr>
        <w:t xml:space="preserve">avoid </w:t>
      </w:r>
      <w:r w:rsidR="00CC0CA3">
        <w:rPr>
          <w:rFonts w:cs="Arial"/>
          <w:sz w:val="22"/>
          <w:szCs w:val="22"/>
        </w:rPr>
        <w:t>disproportionately disadvantaging</w:t>
      </w:r>
      <w:r w:rsidR="003B75EF" w:rsidRPr="00CC0CA3">
        <w:rPr>
          <w:rFonts w:cs="Arial"/>
          <w:sz w:val="22"/>
          <w:szCs w:val="22"/>
        </w:rPr>
        <w:t xml:space="preserve"> any sector or type of EHCP</w:t>
      </w:r>
      <w:r w:rsidR="00CC0CA3">
        <w:rPr>
          <w:rFonts w:cs="Arial"/>
          <w:sz w:val="22"/>
          <w:szCs w:val="22"/>
        </w:rPr>
        <w:t xml:space="preserve"> through a staggered implementation (where </w:t>
      </w:r>
      <w:r w:rsidR="003B75EF" w:rsidRPr="00CC0CA3">
        <w:rPr>
          <w:rFonts w:cs="Arial"/>
          <w:sz w:val="22"/>
          <w:szCs w:val="22"/>
        </w:rPr>
        <w:t>all sectors</w:t>
      </w:r>
      <w:r w:rsidR="00CC0CA3">
        <w:rPr>
          <w:rFonts w:cs="Arial"/>
          <w:sz w:val="22"/>
          <w:szCs w:val="22"/>
        </w:rPr>
        <w:t xml:space="preserve"> may not get</w:t>
      </w:r>
      <w:r w:rsidR="003B75EF" w:rsidRPr="00CC0CA3">
        <w:rPr>
          <w:rFonts w:cs="Arial"/>
          <w:sz w:val="22"/>
          <w:szCs w:val="22"/>
        </w:rPr>
        <w:t xml:space="preserve"> access to the benefits of the new system</w:t>
      </w:r>
      <w:r w:rsidR="00CC0CA3">
        <w:rPr>
          <w:rFonts w:cs="Arial"/>
          <w:sz w:val="22"/>
          <w:szCs w:val="22"/>
        </w:rPr>
        <w:t xml:space="preserve">, </w:t>
      </w:r>
      <w:r w:rsidR="003B75EF" w:rsidRPr="00CC0CA3">
        <w:rPr>
          <w:rFonts w:cs="Arial"/>
          <w:sz w:val="22"/>
          <w:szCs w:val="22"/>
        </w:rPr>
        <w:t>and the uplift in funding this will deliver</w:t>
      </w:r>
      <w:r w:rsidR="00CC0CA3">
        <w:rPr>
          <w:rFonts w:cs="Arial"/>
          <w:sz w:val="22"/>
          <w:szCs w:val="22"/>
        </w:rPr>
        <w:t>,</w:t>
      </w:r>
      <w:r w:rsidR="003B75EF" w:rsidRPr="00CC0CA3">
        <w:rPr>
          <w:rFonts w:cs="Arial"/>
          <w:sz w:val="22"/>
          <w:szCs w:val="22"/>
        </w:rPr>
        <w:t xml:space="preserve"> according to the same timescale</w:t>
      </w:r>
      <w:r w:rsidR="00CC0CA3">
        <w:rPr>
          <w:rFonts w:cs="Arial"/>
          <w:sz w:val="22"/>
          <w:szCs w:val="22"/>
        </w:rPr>
        <w:t>)</w:t>
      </w:r>
      <w:r w:rsidR="003B75EF" w:rsidRPr="00CC0CA3">
        <w:rPr>
          <w:rFonts w:cs="Arial"/>
          <w:sz w:val="22"/>
          <w:szCs w:val="22"/>
        </w:rPr>
        <w:t>.</w:t>
      </w:r>
    </w:p>
    <w:p w:rsidR="003B75EF" w:rsidRPr="00CC0CA3" w:rsidRDefault="00CC0CA3" w:rsidP="00CC0CA3">
      <w:pPr>
        <w:spacing w:after="200" w:line="276" w:lineRule="auto"/>
        <w:jc w:val="both"/>
        <w:rPr>
          <w:rFonts w:cs="Arial"/>
          <w:sz w:val="22"/>
          <w:szCs w:val="22"/>
        </w:rPr>
      </w:pPr>
      <w:r>
        <w:rPr>
          <w:rFonts w:cs="Arial"/>
          <w:sz w:val="22"/>
          <w:szCs w:val="22"/>
        </w:rPr>
        <w:t>3.2 Our proposed transition process is as follow:</w:t>
      </w:r>
    </w:p>
    <w:p w:rsidR="003B75EF" w:rsidRDefault="005C06D6" w:rsidP="00CC0CA3">
      <w:pPr>
        <w:pStyle w:val="ListParagraph"/>
        <w:numPr>
          <w:ilvl w:val="0"/>
          <w:numId w:val="18"/>
        </w:numPr>
        <w:spacing w:after="200" w:line="276" w:lineRule="auto"/>
        <w:jc w:val="both"/>
        <w:rPr>
          <w:rFonts w:cs="Arial"/>
          <w:sz w:val="22"/>
          <w:szCs w:val="22"/>
        </w:rPr>
      </w:pPr>
      <w:r>
        <w:rPr>
          <w:rFonts w:cs="Arial"/>
          <w:sz w:val="22"/>
          <w:szCs w:val="22"/>
        </w:rPr>
        <w:t>All EHCPs in place</w:t>
      </w:r>
      <w:r w:rsidR="003B75EF" w:rsidRPr="003B75EF">
        <w:rPr>
          <w:rFonts w:cs="Arial"/>
          <w:sz w:val="22"/>
          <w:szCs w:val="22"/>
        </w:rPr>
        <w:t xml:space="preserve"> at 1 April 2020 will automatically be transferred on to the new system at 1 April 2020 for the purpos</w:t>
      </w:r>
      <w:r>
        <w:rPr>
          <w:rFonts w:cs="Arial"/>
          <w:sz w:val="22"/>
          <w:szCs w:val="22"/>
        </w:rPr>
        <w:t>es of funding top up</w:t>
      </w:r>
      <w:r w:rsidR="003B75EF" w:rsidRPr="003B75EF">
        <w:rPr>
          <w:rFonts w:cs="Arial"/>
          <w:sz w:val="22"/>
          <w:szCs w:val="22"/>
        </w:rPr>
        <w:t xml:space="preserve"> as follows:</w:t>
      </w:r>
    </w:p>
    <w:p w:rsidR="00CC0CA3" w:rsidRPr="003B75EF" w:rsidRDefault="00CC0CA3" w:rsidP="00CC0CA3">
      <w:pPr>
        <w:pStyle w:val="ListParagraph"/>
        <w:spacing w:after="200" w:line="276" w:lineRule="auto"/>
        <w:ind w:left="0"/>
        <w:jc w:val="both"/>
        <w:rPr>
          <w:rFonts w:cs="Arial"/>
          <w:sz w:val="22"/>
          <w:szCs w:val="22"/>
        </w:rPr>
      </w:pPr>
    </w:p>
    <w:tbl>
      <w:tblPr>
        <w:tblStyle w:val="TableGrid"/>
        <w:tblW w:w="0" w:type="auto"/>
        <w:tblInd w:w="536" w:type="dxa"/>
        <w:tblLook w:val="04A0" w:firstRow="1" w:lastRow="0" w:firstColumn="1" w:lastColumn="0" w:noHBand="0" w:noVBand="1"/>
      </w:tblPr>
      <w:tblGrid>
        <w:gridCol w:w="1488"/>
        <w:gridCol w:w="1488"/>
        <w:gridCol w:w="1506"/>
        <w:gridCol w:w="1368"/>
        <w:gridCol w:w="1394"/>
        <w:gridCol w:w="1179"/>
        <w:gridCol w:w="1179"/>
      </w:tblGrid>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 xml:space="preserve">Current </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Current Value</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New Band</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New Value</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Diff</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Diff</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4A</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£952</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3L</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£1,670</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£718</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+ 75.4%</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4B</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£3,000</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3M</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£3,347</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£347</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+ 11.6%</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4C</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£4,597</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3H</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£4,974</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£377</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+ 8.2%</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4D</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£7,160</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4L</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£7,747</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£587</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+ 8.2%</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5</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£10,440</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4M</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£11,296</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£856</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+ 8.2%</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6</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£13,910</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4H</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£15,051</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£1,141</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+ 8.2%</w:t>
            </w:r>
          </w:p>
        </w:tc>
      </w:tr>
      <w:tr w:rsidR="003B75EF" w:rsidRPr="003B75EF" w:rsidTr="00D378FE">
        <w:tc>
          <w:tcPr>
            <w:tcW w:w="148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7</w:t>
            </w:r>
          </w:p>
        </w:tc>
        <w:tc>
          <w:tcPr>
            <w:tcW w:w="1488" w:type="dxa"/>
          </w:tcPr>
          <w:p w:rsidR="003B75EF" w:rsidRPr="003B75EF" w:rsidRDefault="003B75EF" w:rsidP="00CC0CA3">
            <w:pPr>
              <w:pStyle w:val="ListParagraph"/>
              <w:ind w:left="0"/>
              <w:jc w:val="right"/>
              <w:rPr>
                <w:rFonts w:cs="Arial"/>
                <w:sz w:val="22"/>
                <w:szCs w:val="22"/>
              </w:rPr>
            </w:pPr>
            <w:r w:rsidRPr="003B75EF">
              <w:rPr>
                <w:rFonts w:cs="Arial"/>
                <w:sz w:val="22"/>
                <w:szCs w:val="22"/>
              </w:rPr>
              <w:t>£22,857</w:t>
            </w:r>
          </w:p>
        </w:tc>
        <w:tc>
          <w:tcPr>
            <w:tcW w:w="1506" w:type="dxa"/>
          </w:tcPr>
          <w:p w:rsidR="003B75EF" w:rsidRPr="003B75EF" w:rsidRDefault="003B75EF" w:rsidP="00CC0CA3">
            <w:pPr>
              <w:pStyle w:val="ListParagraph"/>
              <w:ind w:left="0"/>
              <w:jc w:val="center"/>
              <w:rPr>
                <w:rFonts w:cs="Arial"/>
                <w:b/>
                <w:color w:val="548DD4" w:themeColor="text2" w:themeTint="99"/>
                <w:sz w:val="22"/>
                <w:szCs w:val="22"/>
              </w:rPr>
            </w:pPr>
            <w:r w:rsidRPr="003B75EF">
              <w:rPr>
                <w:rFonts w:cs="Arial"/>
                <w:b/>
                <w:color w:val="548DD4" w:themeColor="text2" w:themeTint="99"/>
                <w:sz w:val="22"/>
                <w:szCs w:val="22"/>
              </w:rPr>
              <w:t>Will become</w:t>
            </w:r>
          </w:p>
        </w:tc>
        <w:tc>
          <w:tcPr>
            <w:tcW w:w="1368" w:type="dxa"/>
          </w:tcPr>
          <w:p w:rsidR="003B75EF" w:rsidRPr="003B75EF" w:rsidRDefault="003B75EF"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Protected 7</w:t>
            </w:r>
          </w:p>
        </w:tc>
        <w:tc>
          <w:tcPr>
            <w:tcW w:w="1394"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£24,732</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£1,875</w:t>
            </w:r>
          </w:p>
        </w:tc>
        <w:tc>
          <w:tcPr>
            <w:tcW w:w="1179" w:type="dxa"/>
          </w:tcPr>
          <w:p w:rsidR="003B75EF" w:rsidRPr="00B445EE" w:rsidRDefault="003B75EF" w:rsidP="00CC0CA3">
            <w:pPr>
              <w:pStyle w:val="ListParagraph"/>
              <w:ind w:left="0"/>
              <w:jc w:val="right"/>
              <w:rPr>
                <w:rFonts w:cs="Arial"/>
                <w:b/>
                <w:sz w:val="22"/>
                <w:szCs w:val="22"/>
              </w:rPr>
            </w:pPr>
            <w:r w:rsidRPr="00B445EE">
              <w:rPr>
                <w:rFonts w:cs="Arial"/>
                <w:b/>
                <w:sz w:val="22"/>
                <w:szCs w:val="22"/>
              </w:rPr>
              <w:t>+ 8.2%</w:t>
            </w:r>
          </w:p>
        </w:tc>
      </w:tr>
    </w:tbl>
    <w:p w:rsidR="003B75EF" w:rsidRPr="003B75EF" w:rsidRDefault="003B75EF" w:rsidP="003B75EF">
      <w:pPr>
        <w:jc w:val="both"/>
        <w:rPr>
          <w:rFonts w:cs="Arial"/>
          <w:sz w:val="22"/>
          <w:szCs w:val="22"/>
        </w:rPr>
      </w:pPr>
    </w:p>
    <w:p w:rsidR="00D378FE" w:rsidRDefault="003B75EF" w:rsidP="00D378FE">
      <w:pPr>
        <w:pStyle w:val="ListParagraph"/>
        <w:numPr>
          <w:ilvl w:val="0"/>
          <w:numId w:val="18"/>
        </w:numPr>
        <w:spacing w:after="200" w:line="276" w:lineRule="auto"/>
        <w:jc w:val="both"/>
        <w:rPr>
          <w:rFonts w:cs="Arial"/>
          <w:sz w:val="22"/>
          <w:szCs w:val="22"/>
        </w:rPr>
      </w:pPr>
      <w:r w:rsidRPr="00D378FE">
        <w:rPr>
          <w:rFonts w:cs="Arial"/>
          <w:sz w:val="22"/>
          <w:szCs w:val="22"/>
        </w:rPr>
        <w:t>The values of the steps in the new model for 2020/21</w:t>
      </w:r>
      <w:r w:rsidR="005C06D6" w:rsidRPr="00D378FE">
        <w:rPr>
          <w:rFonts w:cs="Arial"/>
          <w:sz w:val="22"/>
          <w:szCs w:val="22"/>
        </w:rPr>
        <w:t xml:space="preserve"> shown in the table above</w:t>
      </w:r>
      <w:r w:rsidRPr="00D378FE">
        <w:rPr>
          <w:rFonts w:cs="Arial"/>
          <w:sz w:val="22"/>
          <w:szCs w:val="22"/>
        </w:rPr>
        <w:t xml:space="preserve"> are</w:t>
      </w:r>
      <w:r w:rsidR="005C06D6" w:rsidRPr="00D378FE">
        <w:rPr>
          <w:rFonts w:cs="Arial"/>
          <w:sz w:val="22"/>
          <w:szCs w:val="22"/>
        </w:rPr>
        <w:t xml:space="preserve"> based on what we expect to fund but are</w:t>
      </w:r>
      <w:r w:rsidRPr="00D378FE">
        <w:rPr>
          <w:rFonts w:cs="Arial"/>
          <w:sz w:val="22"/>
          <w:szCs w:val="22"/>
        </w:rPr>
        <w:t xml:space="preserve"> still to be finally confirmed.</w:t>
      </w:r>
    </w:p>
    <w:p w:rsidR="00D378FE" w:rsidRDefault="003B75EF" w:rsidP="00D378FE">
      <w:pPr>
        <w:pStyle w:val="ListParagraph"/>
        <w:spacing w:after="200" w:line="276" w:lineRule="auto"/>
        <w:ind w:left="360"/>
        <w:jc w:val="both"/>
        <w:rPr>
          <w:rFonts w:cs="Arial"/>
          <w:sz w:val="22"/>
          <w:szCs w:val="22"/>
        </w:rPr>
      </w:pPr>
      <w:r w:rsidRPr="00D378FE">
        <w:rPr>
          <w:rFonts w:cs="Arial"/>
          <w:sz w:val="22"/>
          <w:szCs w:val="22"/>
        </w:rPr>
        <w:t xml:space="preserve"> </w:t>
      </w:r>
    </w:p>
    <w:p w:rsidR="00D378FE" w:rsidRDefault="003B75EF" w:rsidP="00D378FE">
      <w:pPr>
        <w:pStyle w:val="ListParagraph"/>
        <w:numPr>
          <w:ilvl w:val="0"/>
          <w:numId w:val="18"/>
        </w:numPr>
        <w:spacing w:after="200" w:line="276" w:lineRule="auto"/>
        <w:jc w:val="both"/>
        <w:rPr>
          <w:rFonts w:cs="Arial"/>
          <w:sz w:val="22"/>
          <w:szCs w:val="22"/>
        </w:rPr>
      </w:pPr>
      <w:r w:rsidRPr="00D378FE">
        <w:rPr>
          <w:rFonts w:cs="Arial"/>
          <w:sz w:val="22"/>
          <w:szCs w:val="22"/>
        </w:rPr>
        <w:t>We would expect most</w:t>
      </w:r>
      <w:r w:rsidR="00D378FE">
        <w:rPr>
          <w:rFonts w:cs="Arial"/>
          <w:sz w:val="22"/>
          <w:szCs w:val="22"/>
        </w:rPr>
        <w:t xml:space="preserve"> existing</w:t>
      </w:r>
      <w:r w:rsidRPr="00D378FE">
        <w:rPr>
          <w:rFonts w:cs="Arial"/>
          <w:sz w:val="22"/>
          <w:szCs w:val="22"/>
        </w:rPr>
        <w:t xml:space="preserve"> EHCPs on an on-going basis to remain within the band they have been transferred to. The </w:t>
      </w:r>
      <w:r w:rsidR="00D378FE">
        <w:rPr>
          <w:rFonts w:cs="Arial"/>
          <w:sz w:val="22"/>
          <w:szCs w:val="22"/>
        </w:rPr>
        <w:t xml:space="preserve">SEND </w:t>
      </w:r>
      <w:r w:rsidRPr="00D378FE">
        <w:rPr>
          <w:rFonts w:cs="Arial"/>
          <w:sz w:val="22"/>
          <w:szCs w:val="22"/>
        </w:rPr>
        <w:t xml:space="preserve">Panel will review, through the annual review process, individual EHCPs where the banding may be disputed, where there are obvious </w:t>
      </w:r>
      <w:r w:rsidR="00E642E9">
        <w:rPr>
          <w:rFonts w:cs="Arial"/>
          <w:sz w:val="22"/>
          <w:szCs w:val="22"/>
        </w:rPr>
        <w:t xml:space="preserve">existing </w:t>
      </w:r>
      <w:r w:rsidRPr="00D378FE">
        <w:rPr>
          <w:rFonts w:cs="Arial"/>
          <w:sz w:val="22"/>
          <w:szCs w:val="22"/>
        </w:rPr>
        <w:t>inaccuracies</w:t>
      </w:r>
      <w:r w:rsidR="00E642E9">
        <w:rPr>
          <w:rFonts w:cs="Arial"/>
          <w:sz w:val="22"/>
          <w:szCs w:val="22"/>
        </w:rPr>
        <w:t xml:space="preserve"> or where the needs of the child or young person h</w:t>
      </w:r>
      <w:r w:rsidR="000A28E1">
        <w:rPr>
          <w:rFonts w:cs="Arial"/>
          <w:sz w:val="22"/>
          <w:szCs w:val="22"/>
        </w:rPr>
        <w:t>ave</w:t>
      </w:r>
      <w:r w:rsidRPr="00D378FE">
        <w:rPr>
          <w:rFonts w:cs="Arial"/>
          <w:sz w:val="22"/>
          <w:szCs w:val="22"/>
        </w:rPr>
        <w:t xml:space="preserve"> changed.</w:t>
      </w:r>
    </w:p>
    <w:p w:rsidR="00D378FE" w:rsidRDefault="00D378FE" w:rsidP="00D378FE">
      <w:pPr>
        <w:pStyle w:val="ListParagraph"/>
        <w:spacing w:after="200" w:line="276" w:lineRule="auto"/>
        <w:ind w:left="360"/>
        <w:jc w:val="both"/>
        <w:rPr>
          <w:rFonts w:cs="Arial"/>
          <w:sz w:val="22"/>
          <w:szCs w:val="22"/>
        </w:rPr>
      </w:pPr>
    </w:p>
    <w:p w:rsidR="00D378FE" w:rsidRDefault="003B75EF" w:rsidP="00D378FE">
      <w:pPr>
        <w:pStyle w:val="ListParagraph"/>
        <w:numPr>
          <w:ilvl w:val="0"/>
          <w:numId w:val="18"/>
        </w:numPr>
        <w:spacing w:after="200" w:line="276" w:lineRule="auto"/>
        <w:jc w:val="both"/>
        <w:rPr>
          <w:rFonts w:cs="Arial"/>
          <w:sz w:val="22"/>
          <w:szCs w:val="22"/>
        </w:rPr>
      </w:pPr>
      <w:r w:rsidRPr="00D378FE">
        <w:rPr>
          <w:rFonts w:cs="Arial"/>
          <w:sz w:val="22"/>
          <w:szCs w:val="22"/>
        </w:rPr>
        <w:t>The new model will work under the guarantee that, for EHCPs in place at 1 April 2020, the EHCP will not ever drop to a lower valued band after the transfer to the new model unless the</w:t>
      </w:r>
      <w:r w:rsidR="00D378FE">
        <w:rPr>
          <w:rFonts w:cs="Arial"/>
          <w:sz w:val="22"/>
          <w:szCs w:val="22"/>
        </w:rPr>
        <w:t xml:space="preserve"> SEND</w:t>
      </w:r>
      <w:r w:rsidRPr="00D378FE">
        <w:rPr>
          <w:rFonts w:cs="Arial"/>
          <w:sz w:val="22"/>
          <w:szCs w:val="22"/>
        </w:rPr>
        <w:t xml:space="preserve"> Panel ag</w:t>
      </w:r>
      <w:r w:rsidR="00D378FE">
        <w:rPr>
          <w:rFonts w:cs="Arial"/>
          <w:sz w:val="22"/>
          <w:szCs w:val="22"/>
        </w:rPr>
        <w:t>rees that the needs of the child or young person</w:t>
      </w:r>
      <w:r w:rsidRPr="00D378FE">
        <w:rPr>
          <w:rFonts w:cs="Arial"/>
          <w:sz w:val="22"/>
          <w:szCs w:val="22"/>
        </w:rPr>
        <w:t xml:space="preserve"> are reduced when compared against the needs presented to the Panel in the original EHCP determination. This guarantee will remain in place until the pupil reaches the end of year 11. This guarantee does not extend to assessment places funded at 1 April 2020 (as these pupils do not yet have EHCPs).</w:t>
      </w:r>
    </w:p>
    <w:p w:rsidR="00D378FE" w:rsidRDefault="00D378FE" w:rsidP="00D378FE">
      <w:pPr>
        <w:pStyle w:val="ListParagraph"/>
        <w:spacing w:after="200" w:line="276" w:lineRule="auto"/>
        <w:ind w:left="360"/>
        <w:jc w:val="both"/>
        <w:rPr>
          <w:rFonts w:cs="Arial"/>
          <w:sz w:val="22"/>
          <w:szCs w:val="22"/>
        </w:rPr>
      </w:pPr>
    </w:p>
    <w:p w:rsidR="00D378FE" w:rsidRDefault="003B75EF" w:rsidP="00D378FE">
      <w:pPr>
        <w:pStyle w:val="ListParagraph"/>
        <w:numPr>
          <w:ilvl w:val="0"/>
          <w:numId w:val="18"/>
        </w:numPr>
        <w:spacing w:after="200" w:line="276" w:lineRule="auto"/>
        <w:jc w:val="both"/>
        <w:rPr>
          <w:rFonts w:cs="Arial"/>
          <w:sz w:val="22"/>
          <w:szCs w:val="22"/>
        </w:rPr>
      </w:pPr>
      <w:r w:rsidRPr="00D378FE">
        <w:rPr>
          <w:rFonts w:cs="Arial"/>
          <w:sz w:val="22"/>
          <w:szCs w:val="22"/>
        </w:rPr>
        <w:t>All new EHCPs after 1 April 2020 will be funded on the new model without any protection.</w:t>
      </w:r>
    </w:p>
    <w:p w:rsidR="00D378FE" w:rsidRDefault="00D378FE" w:rsidP="00D378FE">
      <w:pPr>
        <w:pStyle w:val="ListParagraph"/>
        <w:spacing w:after="200" w:line="276" w:lineRule="auto"/>
        <w:ind w:left="360"/>
        <w:jc w:val="both"/>
        <w:rPr>
          <w:rFonts w:cs="Arial"/>
          <w:sz w:val="22"/>
          <w:szCs w:val="22"/>
        </w:rPr>
      </w:pPr>
    </w:p>
    <w:p w:rsidR="00D378FE" w:rsidRDefault="003B75EF" w:rsidP="001B416B">
      <w:pPr>
        <w:pStyle w:val="ListParagraph"/>
        <w:numPr>
          <w:ilvl w:val="0"/>
          <w:numId w:val="18"/>
        </w:numPr>
        <w:spacing w:after="200" w:line="276" w:lineRule="auto"/>
        <w:jc w:val="both"/>
        <w:rPr>
          <w:rFonts w:cs="Arial"/>
          <w:sz w:val="22"/>
          <w:szCs w:val="22"/>
        </w:rPr>
      </w:pPr>
      <w:r w:rsidRPr="00D378FE">
        <w:rPr>
          <w:rFonts w:cs="Arial"/>
          <w:sz w:val="22"/>
          <w:szCs w:val="22"/>
        </w:rPr>
        <w:t>The model going forward will retain a transitional ‘Protected 7’ band, which will continue to fund EHCPs currently graded at Range 7. No new EHCPs will be placed in this band after 1 April 2020. Existing Range 7 pupils will st</w:t>
      </w:r>
      <w:r w:rsidR="00D378FE">
        <w:rPr>
          <w:rFonts w:cs="Arial"/>
          <w:sz w:val="22"/>
          <w:szCs w:val="22"/>
        </w:rPr>
        <w:t xml:space="preserve">ay funded by the Protected 7 </w:t>
      </w:r>
      <w:r w:rsidR="000A28E1">
        <w:rPr>
          <w:rFonts w:cs="Arial"/>
          <w:sz w:val="22"/>
          <w:szCs w:val="22"/>
        </w:rPr>
        <w:t>b</w:t>
      </w:r>
      <w:r w:rsidRPr="00D378FE">
        <w:rPr>
          <w:rFonts w:cs="Arial"/>
          <w:sz w:val="22"/>
          <w:szCs w:val="22"/>
        </w:rPr>
        <w:t>and unless an annual review gives them a higher level of funding using the ne</w:t>
      </w:r>
      <w:r w:rsidR="00D378FE">
        <w:rPr>
          <w:rFonts w:cs="Arial"/>
          <w:sz w:val="22"/>
          <w:szCs w:val="22"/>
        </w:rPr>
        <w:t>w model (via stacking</w:t>
      </w:r>
      <w:r w:rsidRPr="00D378FE">
        <w:rPr>
          <w:rFonts w:cs="Arial"/>
          <w:sz w:val="22"/>
          <w:szCs w:val="22"/>
        </w:rPr>
        <w:t xml:space="preserve">), when the pupil would be transferred onto the new model at this point, or where the pupil’s needs are agreed to have reduced when compared against the needs presented to the Panel in the original EHCP Range 7 determination. This guarantee will remain in place until the pupil reaches the end of year 11.  At 1 April 2020, </w:t>
      </w:r>
      <w:r w:rsidR="00D378FE">
        <w:rPr>
          <w:rFonts w:cs="Arial"/>
          <w:sz w:val="22"/>
          <w:szCs w:val="22"/>
        </w:rPr>
        <w:t>the value of Protected 7 is set at 2019/20 plus the</w:t>
      </w:r>
      <w:r w:rsidRPr="00D378FE">
        <w:rPr>
          <w:rFonts w:cs="Arial"/>
          <w:sz w:val="22"/>
          <w:szCs w:val="22"/>
        </w:rPr>
        <w:t xml:space="preserve"> % increase </w:t>
      </w:r>
      <w:r w:rsidR="00D378FE">
        <w:rPr>
          <w:rFonts w:cs="Arial"/>
          <w:sz w:val="22"/>
          <w:szCs w:val="22"/>
        </w:rPr>
        <w:t>for Band 4H, which is currently 8.2%</w:t>
      </w:r>
      <w:r w:rsidRPr="00D378FE">
        <w:rPr>
          <w:rFonts w:cs="Arial"/>
          <w:sz w:val="22"/>
          <w:szCs w:val="22"/>
        </w:rPr>
        <w:t>. This ‘Protected 7’ band will continue to be part of the model until there are no more EHCPs left in the system on it. Its value will continue to be uplifted each year by the</w:t>
      </w:r>
      <w:r w:rsidR="00D378FE">
        <w:rPr>
          <w:rFonts w:cs="Arial"/>
          <w:sz w:val="22"/>
          <w:szCs w:val="22"/>
        </w:rPr>
        <w:t xml:space="preserve"> same value that Band 4H increases by.</w:t>
      </w:r>
      <w:r w:rsidRPr="00D378FE">
        <w:rPr>
          <w:rFonts w:cs="Arial"/>
          <w:sz w:val="22"/>
          <w:szCs w:val="22"/>
        </w:rPr>
        <w:t xml:space="preserve"> </w:t>
      </w:r>
    </w:p>
    <w:p w:rsidR="00D378FE" w:rsidRDefault="00D378FE" w:rsidP="00D378FE">
      <w:pPr>
        <w:pStyle w:val="ListParagraph"/>
        <w:spacing w:after="200" w:line="276" w:lineRule="auto"/>
        <w:ind w:left="360"/>
        <w:jc w:val="both"/>
        <w:rPr>
          <w:rFonts w:cs="Arial"/>
          <w:sz w:val="22"/>
          <w:szCs w:val="22"/>
        </w:rPr>
      </w:pPr>
    </w:p>
    <w:p w:rsidR="001F06CE" w:rsidRPr="001755F6" w:rsidRDefault="00D378FE" w:rsidP="001B416B">
      <w:pPr>
        <w:pStyle w:val="ListParagraph"/>
        <w:numPr>
          <w:ilvl w:val="0"/>
          <w:numId w:val="18"/>
        </w:numPr>
        <w:spacing w:after="200" w:line="276" w:lineRule="auto"/>
        <w:jc w:val="both"/>
        <w:rPr>
          <w:rFonts w:cs="Arial"/>
          <w:sz w:val="22"/>
          <w:szCs w:val="22"/>
        </w:rPr>
      </w:pPr>
      <w:r>
        <w:rPr>
          <w:rFonts w:cs="Arial"/>
          <w:sz w:val="22"/>
          <w:szCs w:val="22"/>
        </w:rPr>
        <w:t>In transferring EHCPs in the post 16 FE sector, we propose to continue the</w:t>
      </w:r>
      <w:r w:rsidRPr="00D378FE">
        <w:rPr>
          <w:rFonts w:cs="Arial"/>
          <w:sz w:val="22"/>
          <w:szCs w:val="22"/>
        </w:rPr>
        <w:t xml:space="preserve"> approach</w:t>
      </w:r>
      <w:r w:rsidR="001755F6">
        <w:rPr>
          <w:rFonts w:cs="Arial"/>
          <w:sz w:val="22"/>
          <w:szCs w:val="22"/>
        </w:rPr>
        <w:t xml:space="preserve"> set out in paragraph 2.6 and to apply the same principles around the protection of current values as applied for other sectors.</w:t>
      </w:r>
      <w:r w:rsidRPr="00D378FE">
        <w:rPr>
          <w:rFonts w:cs="Arial"/>
          <w:sz w:val="22"/>
          <w:szCs w:val="22"/>
        </w:rPr>
        <w:t xml:space="preserve"> </w:t>
      </w:r>
    </w:p>
    <w:p w:rsidR="001F06CE" w:rsidRPr="003B75EF" w:rsidRDefault="001F06CE" w:rsidP="001B416B">
      <w:pPr>
        <w:jc w:val="both"/>
        <w:rPr>
          <w:rFonts w:cs="Arial"/>
          <w:sz w:val="22"/>
          <w:szCs w:val="22"/>
        </w:rPr>
      </w:pPr>
    </w:p>
    <w:p w:rsidR="001F06CE" w:rsidRPr="003B75EF" w:rsidRDefault="001F06CE" w:rsidP="001B416B">
      <w:pPr>
        <w:jc w:val="both"/>
        <w:rPr>
          <w:rFonts w:cs="Arial"/>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E37FC5" w:rsidRDefault="00E37FC5" w:rsidP="001B416B">
      <w:pPr>
        <w:jc w:val="both"/>
        <w:rPr>
          <w:sz w:val="22"/>
          <w:szCs w:val="22"/>
        </w:rPr>
      </w:pPr>
    </w:p>
    <w:p w:rsidR="0034071E" w:rsidRDefault="0034071E" w:rsidP="001B416B">
      <w:pPr>
        <w:jc w:val="both"/>
        <w:rPr>
          <w:sz w:val="22"/>
          <w:szCs w:val="22"/>
        </w:rPr>
      </w:pPr>
    </w:p>
    <w:p w:rsidR="0034071E" w:rsidRDefault="0034071E" w:rsidP="001B416B">
      <w:pPr>
        <w:jc w:val="both"/>
        <w:rPr>
          <w:sz w:val="22"/>
          <w:szCs w:val="22"/>
        </w:rPr>
      </w:pPr>
    </w:p>
    <w:p w:rsidR="00E37FC5" w:rsidRDefault="00E37FC5" w:rsidP="001B416B">
      <w:pPr>
        <w:jc w:val="both"/>
        <w:rPr>
          <w:sz w:val="22"/>
          <w:szCs w:val="22"/>
        </w:rPr>
      </w:pPr>
    </w:p>
    <w:p w:rsidR="00E37FC5" w:rsidRDefault="00E37FC5" w:rsidP="001B416B">
      <w:pPr>
        <w:jc w:val="both"/>
        <w:rPr>
          <w:sz w:val="22"/>
          <w:szCs w:val="22"/>
        </w:rPr>
      </w:pPr>
    </w:p>
    <w:p w:rsidR="00995305" w:rsidRDefault="00995305" w:rsidP="001B416B">
      <w:pPr>
        <w:jc w:val="both"/>
        <w:rPr>
          <w:sz w:val="22"/>
          <w:szCs w:val="22"/>
        </w:rPr>
      </w:pPr>
    </w:p>
    <w:p w:rsidR="00995305" w:rsidRDefault="00995305" w:rsidP="001B416B">
      <w:pPr>
        <w:jc w:val="both"/>
        <w:rPr>
          <w:sz w:val="22"/>
          <w:szCs w:val="22"/>
        </w:rPr>
      </w:pPr>
    </w:p>
    <w:p w:rsidR="00995305" w:rsidRDefault="00995305" w:rsidP="001B416B">
      <w:pPr>
        <w:jc w:val="both"/>
        <w:rPr>
          <w:sz w:val="22"/>
          <w:szCs w:val="22"/>
        </w:rPr>
      </w:pPr>
    </w:p>
    <w:p w:rsidR="009968E9" w:rsidRDefault="009968E9" w:rsidP="001B416B">
      <w:pPr>
        <w:jc w:val="both"/>
        <w:rPr>
          <w:sz w:val="22"/>
          <w:szCs w:val="22"/>
        </w:rPr>
      </w:pPr>
    </w:p>
    <w:p w:rsidR="000C43C4" w:rsidRDefault="000C43C4" w:rsidP="001B416B">
      <w:pPr>
        <w:jc w:val="both"/>
        <w:rPr>
          <w:sz w:val="22"/>
          <w:szCs w:val="22"/>
        </w:rPr>
      </w:pPr>
    </w:p>
    <w:p w:rsidR="008869EA" w:rsidRDefault="008869EA" w:rsidP="001B416B">
      <w:pPr>
        <w:jc w:val="both"/>
        <w:rPr>
          <w:sz w:val="22"/>
          <w:szCs w:val="22"/>
        </w:rPr>
      </w:pPr>
    </w:p>
    <w:p w:rsidR="008869EA" w:rsidRDefault="008869EA" w:rsidP="001B416B">
      <w:pPr>
        <w:jc w:val="both"/>
        <w:rPr>
          <w:sz w:val="22"/>
          <w:szCs w:val="22"/>
        </w:rPr>
      </w:pPr>
    </w:p>
    <w:p w:rsidR="008869EA" w:rsidRDefault="008869EA" w:rsidP="001B416B">
      <w:pPr>
        <w:jc w:val="both"/>
        <w:rPr>
          <w:sz w:val="22"/>
          <w:szCs w:val="22"/>
        </w:rPr>
      </w:pPr>
    </w:p>
    <w:p w:rsidR="008869EA" w:rsidRDefault="008869EA" w:rsidP="001B416B">
      <w:pPr>
        <w:jc w:val="both"/>
        <w:rPr>
          <w:sz w:val="22"/>
          <w:szCs w:val="22"/>
        </w:rPr>
      </w:pPr>
    </w:p>
    <w:p w:rsidR="008869EA" w:rsidRDefault="008869EA" w:rsidP="001B416B">
      <w:pPr>
        <w:jc w:val="both"/>
        <w:rPr>
          <w:sz w:val="22"/>
          <w:szCs w:val="22"/>
        </w:rPr>
      </w:pPr>
    </w:p>
    <w:p w:rsidR="00633EF1" w:rsidRDefault="00633EF1" w:rsidP="001B416B">
      <w:pPr>
        <w:jc w:val="both"/>
        <w:rPr>
          <w:sz w:val="22"/>
          <w:szCs w:val="22"/>
        </w:rPr>
      </w:pPr>
    </w:p>
    <w:p w:rsidR="00995305" w:rsidRDefault="00995305" w:rsidP="001B416B">
      <w:pPr>
        <w:jc w:val="both"/>
        <w:rPr>
          <w:sz w:val="22"/>
          <w:szCs w:val="22"/>
        </w:rPr>
      </w:pPr>
    </w:p>
    <w:p w:rsidR="00E37FC5" w:rsidRPr="006464A0" w:rsidRDefault="00995305" w:rsidP="006464A0">
      <w:pPr>
        <w:jc w:val="center"/>
        <w:rPr>
          <w:b/>
          <w:sz w:val="22"/>
          <w:szCs w:val="22"/>
        </w:rPr>
      </w:pPr>
      <w:r>
        <w:rPr>
          <w:b/>
          <w:sz w:val="22"/>
          <w:szCs w:val="22"/>
        </w:rPr>
        <w:t>Appendix 4</w:t>
      </w:r>
      <w:r w:rsidR="00E37FC5" w:rsidRPr="006464A0">
        <w:rPr>
          <w:b/>
          <w:sz w:val="22"/>
          <w:szCs w:val="22"/>
        </w:rPr>
        <w:t xml:space="preserve"> – Technical Annex</w:t>
      </w:r>
    </w:p>
    <w:p w:rsidR="00E37FC5" w:rsidRDefault="00E37FC5" w:rsidP="00E37FC5">
      <w:pPr>
        <w:jc w:val="both"/>
        <w:rPr>
          <w:sz w:val="22"/>
          <w:szCs w:val="22"/>
        </w:rPr>
      </w:pPr>
    </w:p>
    <w:p w:rsidR="00E37FC5" w:rsidRDefault="00890444" w:rsidP="00E37FC5">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w:t>
      </w:r>
      <w:r w:rsidR="007B515F">
        <w:rPr>
          <w:sz w:val="22"/>
          <w:szCs w:val="22"/>
        </w:rPr>
        <w:t>cil’s high needs funding model.</w:t>
      </w:r>
    </w:p>
    <w:p w:rsidR="005462B3" w:rsidRDefault="005462B3" w:rsidP="00E37FC5">
      <w:pPr>
        <w:jc w:val="both"/>
        <w:rPr>
          <w:sz w:val="22"/>
          <w:szCs w:val="22"/>
        </w:rPr>
      </w:pPr>
    </w:p>
    <w:p w:rsidR="00890444" w:rsidRPr="009879CD" w:rsidRDefault="00890444" w:rsidP="00E37FC5">
      <w:pPr>
        <w:jc w:val="both"/>
        <w:rPr>
          <w:b/>
          <w:sz w:val="22"/>
          <w:szCs w:val="22"/>
          <w:u w:val="single"/>
        </w:rPr>
      </w:pPr>
      <w:r w:rsidRPr="009879CD">
        <w:rPr>
          <w:b/>
          <w:sz w:val="22"/>
          <w:szCs w:val="22"/>
          <w:u w:val="single"/>
        </w:rPr>
        <w:t>Notional SEND (Mainstream Schools Block</w:t>
      </w:r>
      <w:r w:rsidR="005921B5" w:rsidRPr="009879CD">
        <w:rPr>
          <w:b/>
          <w:sz w:val="22"/>
          <w:szCs w:val="22"/>
          <w:u w:val="single"/>
        </w:rPr>
        <w:t xml:space="preserve"> Primary &amp; Secondary</w:t>
      </w:r>
      <w:r w:rsidRPr="009879CD">
        <w:rPr>
          <w:b/>
          <w:sz w:val="22"/>
          <w:szCs w:val="22"/>
          <w:u w:val="single"/>
        </w:rPr>
        <w:t>)</w:t>
      </w:r>
    </w:p>
    <w:p w:rsidR="00BA1CC7" w:rsidRDefault="00BA1CC7" w:rsidP="00BA1CC7">
      <w:pPr>
        <w:jc w:val="both"/>
        <w:rPr>
          <w:sz w:val="22"/>
          <w:szCs w:val="22"/>
        </w:rPr>
      </w:pPr>
    </w:p>
    <w:p w:rsidR="00BA1CC7" w:rsidRPr="00BA1CC7" w:rsidRDefault="00BA1CC7" w:rsidP="00BA1CC7">
      <w:pPr>
        <w:jc w:val="both"/>
        <w:rPr>
          <w:sz w:val="22"/>
          <w:szCs w:val="22"/>
        </w:rPr>
      </w:pPr>
      <w:r>
        <w:rPr>
          <w:sz w:val="22"/>
          <w:szCs w:val="22"/>
        </w:rPr>
        <w:t>Local authorities are</w:t>
      </w:r>
      <w:r w:rsidRPr="00BA1CC7">
        <w:rPr>
          <w:sz w:val="22"/>
          <w:szCs w:val="22"/>
        </w:rPr>
        <w:t xml:space="preserve"> required to define for each primary and secondary school the value of formula funding that is ‘notionally’ allocated for SEND (for meeting the first £6,000 of needs for pupils with EHCPs and the needs of pupils without EHCPs). Our calculation has built up o</w:t>
      </w:r>
      <w:r w:rsidR="005731CF">
        <w:rPr>
          <w:sz w:val="22"/>
          <w:szCs w:val="22"/>
        </w:rPr>
        <w:t>ver time. How Bradford</w:t>
      </w:r>
      <w:r w:rsidRPr="00BA1CC7">
        <w:rPr>
          <w:sz w:val="22"/>
          <w:szCs w:val="22"/>
        </w:rPr>
        <w:t xml:space="preserve"> defines notional SEN</w:t>
      </w:r>
      <w:r>
        <w:rPr>
          <w:sz w:val="22"/>
          <w:szCs w:val="22"/>
        </w:rPr>
        <w:t>D</w:t>
      </w:r>
      <w:r w:rsidRPr="00BA1CC7">
        <w:rPr>
          <w:sz w:val="22"/>
          <w:szCs w:val="22"/>
        </w:rPr>
        <w:t xml:space="preserve"> (the %s of funding in each factor that make up this budget) is shown in the table below.</w:t>
      </w:r>
    </w:p>
    <w:p w:rsidR="00BA1CC7" w:rsidRPr="00D9470F" w:rsidRDefault="00BA1CC7" w:rsidP="00BA1CC7">
      <w:pPr>
        <w:pStyle w:val="ListParagraph"/>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BA1CC7" w:rsidTr="00FE01F3">
        <w:tc>
          <w:tcPr>
            <w:tcW w:w="6771" w:type="dxa"/>
          </w:tcPr>
          <w:p w:rsidR="00BA1CC7" w:rsidRPr="00D210FF" w:rsidRDefault="00BA1CC7" w:rsidP="00FE01F3">
            <w:pPr>
              <w:jc w:val="both"/>
              <w:rPr>
                <w:b/>
                <w:sz w:val="22"/>
                <w:szCs w:val="22"/>
              </w:rPr>
            </w:pPr>
            <w:r w:rsidRPr="00D210FF">
              <w:rPr>
                <w:b/>
                <w:sz w:val="22"/>
                <w:szCs w:val="22"/>
              </w:rPr>
              <w:t>Formula Factor</w:t>
            </w:r>
          </w:p>
        </w:tc>
        <w:tc>
          <w:tcPr>
            <w:tcW w:w="1984" w:type="dxa"/>
          </w:tcPr>
          <w:p w:rsidR="00BA1CC7" w:rsidRPr="00D210FF" w:rsidRDefault="00BA1CC7" w:rsidP="00FE01F3">
            <w:pPr>
              <w:jc w:val="right"/>
              <w:rPr>
                <w:b/>
                <w:sz w:val="22"/>
                <w:szCs w:val="22"/>
              </w:rPr>
            </w:pPr>
            <w:r w:rsidRPr="00D210FF">
              <w:rPr>
                <w:b/>
                <w:sz w:val="22"/>
                <w:szCs w:val="22"/>
              </w:rPr>
              <w:t>% Primary</w:t>
            </w:r>
          </w:p>
        </w:tc>
        <w:tc>
          <w:tcPr>
            <w:tcW w:w="2143" w:type="dxa"/>
          </w:tcPr>
          <w:p w:rsidR="00BA1CC7" w:rsidRPr="00D210FF" w:rsidRDefault="00BA1CC7" w:rsidP="00FE01F3">
            <w:pPr>
              <w:jc w:val="right"/>
              <w:rPr>
                <w:b/>
                <w:sz w:val="22"/>
                <w:szCs w:val="22"/>
              </w:rPr>
            </w:pPr>
            <w:r w:rsidRPr="00D210FF">
              <w:rPr>
                <w:b/>
                <w:sz w:val="22"/>
                <w:szCs w:val="22"/>
              </w:rPr>
              <w:t>% Secondary</w:t>
            </w:r>
          </w:p>
        </w:tc>
      </w:tr>
      <w:tr w:rsidR="00BA1CC7" w:rsidTr="00FE01F3">
        <w:tc>
          <w:tcPr>
            <w:tcW w:w="6771" w:type="dxa"/>
          </w:tcPr>
          <w:p w:rsidR="00BA1CC7" w:rsidRDefault="00BA1CC7" w:rsidP="00FE01F3">
            <w:pPr>
              <w:jc w:val="both"/>
              <w:rPr>
                <w:sz w:val="22"/>
                <w:szCs w:val="22"/>
              </w:rPr>
            </w:pPr>
            <w:r>
              <w:rPr>
                <w:sz w:val="22"/>
                <w:szCs w:val="22"/>
              </w:rPr>
              <w:t>Prior Low Attainment</w:t>
            </w:r>
          </w:p>
        </w:tc>
        <w:tc>
          <w:tcPr>
            <w:tcW w:w="1984" w:type="dxa"/>
          </w:tcPr>
          <w:p w:rsidR="00BA1CC7" w:rsidRDefault="00BA1CC7" w:rsidP="00FE01F3">
            <w:pPr>
              <w:jc w:val="right"/>
              <w:rPr>
                <w:sz w:val="22"/>
                <w:szCs w:val="22"/>
              </w:rPr>
            </w:pPr>
            <w:r>
              <w:rPr>
                <w:sz w:val="22"/>
                <w:szCs w:val="22"/>
              </w:rPr>
              <w:t>100%</w:t>
            </w:r>
          </w:p>
        </w:tc>
        <w:tc>
          <w:tcPr>
            <w:tcW w:w="2143" w:type="dxa"/>
          </w:tcPr>
          <w:p w:rsidR="00BA1CC7" w:rsidRDefault="00BA1CC7" w:rsidP="00FE01F3">
            <w:pPr>
              <w:jc w:val="right"/>
              <w:rPr>
                <w:sz w:val="22"/>
                <w:szCs w:val="22"/>
              </w:rPr>
            </w:pPr>
            <w:r>
              <w:rPr>
                <w:sz w:val="22"/>
                <w:szCs w:val="22"/>
              </w:rPr>
              <w:t>100%</w:t>
            </w:r>
          </w:p>
        </w:tc>
      </w:tr>
      <w:tr w:rsidR="00BA1CC7" w:rsidTr="00FE01F3">
        <w:tc>
          <w:tcPr>
            <w:tcW w:w="6771" w:type="dxa"/>
          </w:tcPr>
          <w:p w:rsidR="00BA1CC7" w:rsidRDefault="00BA1CC7" w:rsidP="00FE01F3">
            <w:pPr>
              <w:jc w:val="both"/>
              <w:rPr>
                <w:sz w:val="22"/>
                <w:szCs w:val="22"/>
              </w:rPr>
            </w:pPr>
            <w:r>
              <w:rPr>
                <w:sz w:val="22"/>
                <w:szCs w:val="22"/>
              </w:rPr>
              <w:t>Free School Meals Factor</w:t>
            </w:r>
          </w:p>
        </w:tc>
        <w:tc>
          <w:tcPr>
            <w:tcW w:w="1984" w:type="dxa"/>
          </w:tcPr>
          <w:p w:rsidR="00BA1CC7" w:rsidRDefault="00BA1CC7" w:rsidP="00FE01F3">
            <w:pPr>
              <w:jc w:val="right"/>
              <w:rPr>
                <w:sz w:val="22"/>
                <w:szCs w:val="22"/>
              </w:rPr>
            </w:pPr>
            <w:r>
              <w:rPr>
                <w:sz w:val="22"/>
                <w:szCs w:val="22"/>
              </w:rPr>
              <w:t>23.1%</w:t>
            </w:r>
          </w:p>
        </w:tc>
        <w:tc>
          <w:tcPr>
            <w:tcW w:w="2143" w:type="dxa"/>
          </w:tcPr>
          <w:p w:rsidR="00BA1CC7" w:rsidRDefault="00BA1CC7" w:rsidP="00FE01F3">
            <w:pPr>
              <w:jc w:val="right"/>
              <w:rPr>
                <w:sz w:val="22"/>
                <w:szCs w:val="22"/>
              </w:rPr>
            </w:pPr>
            <w:r>
              <w:rPr>
                <w:sz w:val="22"/>
                <w:szCs w:val="22"/>
              </w:rPr>
              <w:t>10.2%</w:t>
            </w:r>
          </w:p>
        </w:tc>
      </w:tr>
      <w:tr w:rsidR="00BA1CC7" w:rsidTr="00FE01F3">
        <w:tc>
          <w:tcPr>
            <w:tcW w:w="6771" w:type="dxa"/>
          </w:tcPr>
          <w:p w:rsidR="00BA1CC7" w:rsidRDefault="00BA1CC7" w:rsidP="00FE01F3">
            <w:pPr>
              <w:jc w:val="both"/>
              <w:rPr>
                <w:sz w:val="22"/>
                <w:szCs w:val="22"/>
              </w:rPr>
            </w:pPr>
            <w:r>
              <w:rPr>
                <w:sz w:val="22"/>
                <w:szCs w:val="22"/>
              </w:rPr>
              <w:t>IDACI Factor</w:t>
            </w:r>
          </w:p>
        </w:tc>
        <w:tc>
          <w:tcPr>
            <w:tcW w:w="1984" w:type="dxa"/>
          </w:tcPr>
          <w:p w:rsidR="00BA1CC7" w:rsidRDefault="00BA1CC7" w:rsidP="00FE01F3">
            <w:pPr>
              <w:jc w:val="right"/>
              <w:rPr>
                <w:sz w:val="22"/>
                <w:szCs w:val="22"/>
              </w:rPr>
            </w:pPr>
            <w:r>
              <w:rPr>
                <w:sz w:val="22"/>
                <w:szCs w:val="22"/>
              </w:rPr>
              <w:t>22.4%</w:t>
            </w:r>
          </w:p>
        </w:tc>
        <w:tc>
          <w:tcPr>
            <w:tcW w:w="2143" w:type="dxa"/>
          </w:tcPr>
          <w:p w:rsidR="00BA1CC7" w:rsidRDefault="00BA1CC7" w:rsidP="00FE01F3">
            <w:pPr>
              <w:jc w:val="right"/>
              <w:rPr>
                <w:sz w:val="22"/>
                <w:szCs w:val="22"/>
              </w:rPr>
            </w:pPr>
            <w:r>
              <w:rPr>
                <w:sz w:val="22"/>
                <w:szCs w:val="22"/>
              </w:rPr>
              <w:t>19.2%</w:t>
            </w:r>
          </w:p>
        </w:tc>
      </w:tr>
      <w:tr w:rsidR="00BA1CC7" w:rsidTr="00FE01F3">
        <w:tc>
          <w:tcPr>
            <w:tcW w:w="6771" w:type="dxa"/>
          </w:tcPr>
          <w:p w:rsidR="00BA1CC7" w:rsidRDefault="00BA1CC7" w:rsidP="00FE01F3">
            <w:pPr>
              <w:jc w:val="both"/>
              <w:rPr>
                <w:sz w:val="22"/>
                <w:szCs w:val="22"/>
              </w:rPr>
            </w:pPr>
            <w:r>
              <w:rPr>
                <w:sz w:val="22"/>
                <w:szCs w:val="22"/>
              </w:rPr>
              <w:t>Base £APP</w:t>
            </w:r>
          </w:p>
        </w:tc>
        <w:tc>
          <w:tcPr>
            <w:tcW w:w="1984" w:type="dxa"/>
          </w:tcPr>
          <w:p w:rsidR="00BA1CC7" w:rsidRDefault="00BA1CC7" w:rsidP="00FE01F3">
            <w:pPr>
              <w:jc w:val="right"/>
              <w:rPr>
                <w:sz w:val="22"/>
                <w:szCs w:val="22"/>
              </w:rPr>
            </w:pPr>
            <w:r>
              <w:rPr>
                <w:sz w:val="22"/>
                <w:szCs w:val="22"/>
              </w:rPr>
              <w:t>7.5%</w:t>
            </w:r>
          </w:p>
        </w:tc>
        <w:tc>
          <w:tcPr>
            <w:tcW w:w="2143" w:type="dxa"/>
          </w:tcPr>
          <w:p w:rsidR="00BA1CC7" w:rsidRDefault="00BA1CC7" w:rsidP="00FE01F3">
            <w:pPr>
              <w:jc w:val="right"/>
              <w:rPr>
                <w:sz w:val="22"/>
                <w:szCs w:val="22"/>
              </w:rPr>
            </w:pPr>
            <w:r>
              <w:rPr>
                <w:sz w:val="22"/>
                <w:szCs w:val="22"/>
              </w:rPr>
              <w:t>6.3%</w:t>
            </w:r>
          </w:p>
        </w:tc>
      </w:tr>
    </w:tbl>
    <w:p w:rsidR="00890444" w:rsidRDefault="00890444" w:rsidP="00E37FC5">
      <w:pPr>
        <w:jc w:val="both"/>
        <w:rPr>
          <w:sz w:val="22"/>
          <w:szCs w:val="22"/>
        </w:rPr>
      </w:pPr>
    </w:p>
    <w:p w:rsidR="00E37FC5" w:rsidRDefault="0099705B" w:rsidP="00E37FC5">
      <w:pPr>
        <w:jc w:val="both"/>
        <w:rPr>
          <w:sz w:val="22"/>
          <w:szCs w:val="22"/>
        </w:rPr>
      </w:pPr>
      <w:r>
        <w:rPr>
          <w:sz w:val="22"/>
          <w:szCs w:val="22"/>
        </w:rPr>
        <w:t>In addition, 6% of a school’s allocation under the Early Years Single Funding Formula, for schools and academies that have nursery provision, is also defined to be available for supporting SEND in early years.</w:t>
      </w:r>
    </w:p>
    <w:p w:rsidR="005731CF" w:rsidRDefault="005731CF" w:rsidP="00E37FC5">
      <w:pPr>
        <w:jc w:val="both"/>
        <w:rPr>
          <w:sz w:val="22"/>
          <w:szCs w:val="22"/>
        </w:rPr>
      </w:pPr>
    </w:p>
    <w:p w:rsidR="005731CF" w:rsidRPr="00F10A72" w:rsidRDefault="005731CF" w:rsidP="005731CF">
      <w:pPr>
        <w:jc w:val="both"/>
        <w:rPr>
          <w:sz w:val="22"/>
          <w:szCs w:val="22"/>
        </w:rPr>
      </w:pPr>
      <w:r>
        <w:rPr>
          <w:sz w:val="22"/>
          <w:szCs w:val="22"/>
        </w:rPr>
        <w:t>For reference and awareness, there were a couple of</w:t>
      </w:r>
      <w:r w:rsidRPr="00F10A72">
        <w:rPr>
          <w:sz w:val="22"/>
          <w:szCs w:val="22"/>
        </w:rPr>
        <w:t xml:space="preserve"> issues that wer</w:t>
      </w:r>
      <w:r>
        <w:rPr>
          <w:sz w:val="22"/>
          <w:szCs w:val="22"/>
        </w:rPr>
        <w:t>e created by our movement to National Funding Formula (NFF) at April 2018 for the calculation of primary and seco</w:t>
      </w:r>
      <w:r w:rsidR="0096548C">
        <w:rPr>
          <w:sz w:val="22"/>
          <w:szCs w:val="22"/>
        </w:rPr>
        <w:t>ndary mainstream formula allocations</w:t>
      </w:r>
      <w:r w:rsidRPr="00F10A72">
        <w:rPr>
          <w:sz w:val="22"/>
          <w:szCs w:val="22"/>
        </w:rPr>
        <w:t xml:space="preserve"> that we </w:t>
      </w:r>
      <w:r>
        <w:rPr>
          <w:sz w:val="22"/>
          <w:szCs w:val="22"/>
        </w:rPr>
        <w:t>identified needed closer attention. These were:</w:t>
      </w:r>
    </w:p>
    <w:p w:rsidR="005731CF" w:rsidRDefault="005731CF" w:rsidP="005731CF">
      <w:pPr>
        <w:jc w:val="both"/>
        <w:rPr>
          <w:color w:val="FF0000"/>
          <w:sz w:val="22"/>
          <w:szCs w:val="22"/>
        </w:rPr>
      </w:pPr>
    </w:p>
    <w:p w:rsidR="005731CF" w:rsidRDefault="005731CF" w:rsidP="00C15620">
      <w:pPr>
        <w:pStyle w:val="ListParagraph"/>
        <w:numPr>
          <w:ilvl w:val="0"/>
          <w:numId w:val="10"/>
        </w:numPr>
        <w:contextualSpacing w:val="0"/>
        <w:jc w:val="both"/>
        <w:rPr>
          <w:sz w:val="22"/>
          <w:szCs w:val="22"/>
        </w:rPr>
      </w:pPr>
      <w:r w:rsidRPr="00C02F1D">
        <w:rPr>
          <w:sz w:val="22"/>
          <w:szCs w:val="22"/>
        </w:rPr>
        <w:t>The knock on implications for our Notional SEND calculation, where our movement to NFF, because of the in</w:t>
      </w:r>
      <w:r>
        <w:rPr>
          <w:sz w:val="22"/>
          <w:szCs w:val="22"/>
        </w:rPr>
        <w:t>creased weighting this gives</w:t>
      </w:r>
      <w:r w:rsidRPr="00C02F1D">
        <w:rPr>
          <w:sz w:val="22"/>
          <w:szCs w:val="22"/>
        </w:rPr>
        <w:t xml:space="preserve"> low prior attainment, has meant that the values of notional</w:t>
      </w:r>
      <w:r>
        <w:rPr>
          <w:sz w:val="22"/>
          <w:szCs w:val="22"/>
        </w:rPr>
        <w:t xml:space="preserve"> SEND budget for all schools</w:t>
      </w:r>
      <w:r w:rsidRPr="00C02F1D">
        <w:rPr>
          <w:sz w:val="22"/>
          <w:szCs w:val="22"/>
        </w:rPr>
        <w:t xml:space="preserve"> subst</w:t>
      </w:r>
      <w:r>
        <w:rPr>
          <w:sz w:val="22"/>
          <w:szCs w:val="22"/>
        </w:rPr>
        <w:t xml:space="preserve">antially increased in 2018/19. </w:t>
      </w:r>
      <w:r w:rsidRPr="00667EE0">
        <w:rPr>
          <w:sz w:val="22"/>
          <w:szCs w:val="22"/>
        </w:rPr>
        <w:t xml:space="preserve">Following </w:t>
      </w:r>
      <w:r>
        <w:rPr>
          <w:sz w:val="22"/>
          <w:szCs w:val="22"/>
        </w:rPr>
        <w:t>further analysis and</w:t>
      </w:r>
      <w:r w:rsidRPr="00667EE0">
        <w:rPr>
          <w:sz w:val="22"/>
          <w:szCs w:val="22"/>
        </w:rPr>
        <w:t xml:space="preserve"> benchmarking work, </w:t>
      </w:r>
      <w:r>
        <w:rPr>
          <w:sz w:val="22"/>
          <w:szCs w:val="22"/>
        </w:rPr>
        <w:t>we agreed to c</w:t>
      </w:r>
      <w:r w:rsidRPr="00667EE0">
        <w:rPr>
          <w:sz w:val="22"/>
          <w:szCs w:val="22"/>
        </w:rPr>
        <w:t xml:space="preserve">ontinue to use our existing </w:t>
      </w:r>
      <w:r>
        <w:rPr>
          <w:sz w:val="22"/>
          <w:szCs w:val="22"/>
        </w:rPr>
        <w:t>methodology for</w:t>
      </w:r>
      <w:r w:rsidRPr="00667EE0">
        <w:rPr>
          <w:sz w:val="22"/>
          <w:szCs w:val="22"/>
        </w:rPr>
        <w:t xml:space="preserve"> the d</w:t>
      </w:r>
      <w:r>
        <w:rPr>
          <w:sz w:val="22"/>
          <w:szCs w:val="22"/>
        </w:rPr>
        <w:t>efinition of notional SEND budgets in 2019/20</w:t>
      </w:r>
      <w:r w:rsidRPr="005F3CBE">
        <w:rPr>
          <w:sz w:val="22"/>
          <w:szCs w:val="22"/>
        </w:rPr>
        <w:t>.</w:t>
      </w:r>
    </w:p>
    <w:p w:rsidR="005731CF" w:rsidRPr="000723A3" w:rsidRDefault="005731CF" w:rsidP="005731CF">
      <w:pPr>
        <w:pStyle w:val="ListParagraph"/>
        <w:ind w:left="360"/>
        <w:contextualSpacing w:val="0"/>
        <w:jc w:val="both"/>
        <w:rPr>
          <w:sz w:val="22"/>
          <w:szCs w:val="22"/>
        </w:rPr>
      </w:pPr>
    </w:p>
    <w:p w:rsidR="005731CF" w:rsidRPr="00C02F1D" w:rsidRDefault="005731CF" w:rsidP="00C15620">
      <w:pPr>
        <w:pStyle w:val="ListParagraph"/>
        <w:numPr>
          <w:ilvl w:val="0"/>
          <w:numId w:val="10"/>
        </w:numPr>
        <w:contextualSpacing w:val="0"/>
        <w:jc w:val="both"/>
        <w:rPr>
          <w:sz w:val="22"/>
          <w:szCs w:val="22"/>
        </w:rPr>
      </w:pPr>
      <w:r w:rsidRPr="00C02F1D">
        <w:rPr>
          <w:sz w:val="22"/>
          <w:szCs w:val="22"/>
        </w:rPr>
        <w:t>The knock on implications for our SEND Funding Floor</w:t>
      </w:r>
      <w:r>
        <w:rPr>
          <w:sz w:val="22"/>
          <w:szCs w:val="22"/>
        </w:rPr>
        <w:t xml:space="preserve"> (described in more detail below)</w:t>
      </w:r>
      <w:r w:rsidRPr="00C02F1D">
        <w:rPr>
          <w:sz w:val="22"/>
          <w:szCs w:val="22"/>
        </w:rPr>
        <w:t>, where our movement to NFF, because of the increased weighting this gives Additional</w:t>
      </w:r>
      <w:r>
        <w:rPr>
          <w:sz w:val="22"/>
          <w:szCs w:val="22"/>
        </w:rPr>
        <w:t xml:space="preserve"> Educational Needs (AEN)</w:t>
      </w:r>
      <w:r w:rsidRPr="00C02F1D">
        <w:rPr>
          <w:sz w:val="22"/>
          <w:szCs w:val="22"/>
        </w:rPr>
        <w:t>, has meant that most schools w</w:t>
      </w:r>
      <w:r>
        <w:rPr>
          <w:sz w:val="22"/>
          <w:szCs w:val="22"/>
        </w:rPr>
        <w:t>ould not receive SEND Floor f</w:t>
      </w:r>
      <w:r w:rsidRPr="00C02F1D">
        <w:rPr>
          <w:sz w:val="22"/>
          <w:szCs w:val="22"/>
        </w:rPr>
        <w:t xml:space="preserve">unding. We agreed to </w:t>
      </w:r>
      <w:r>
        <w:rPr>
          <w:sz w:val="22"/>
          <w:szCs w:val="22"/>
        </w:rPr>
        <w:t>protect allocations in</w:t>
      </w:r>
      <w:r w:rsidRPr="00C02F1D">
        <w:rPr>
          <w:sz w:val="22"/>
          <w:szCs w:val="22"/>
        </w:rPr>
        <w:t xml:space="preserve"> 2018/19, by guaranteeing that all schools would receive at least</w:t>
      </w:r>
      <w:r>
        <w:rPr>
          <w:sz w:val="22"/>
          <w:szCs w:val="22"/>
        </w:rPr>
        <w:t xml:space="preserve"> the same cash allocation</w:t>
      </w:r>
      <w:r w:rsidRPr="00C02F1D">
        <w:rPr>
          <w:sz w:val="22"/>
          <w:szCs w:val="22"/>
        </w:rPr>
        <w:t xml:space="preserve"> as they did in 2017/18.</w:t>
      </w:r>
      <w:r>
        <w:rPr>
          <w:sz w:val="22"/>
          <w:szCs w:val="22"/>
        </w:rPr>
        <w:t xml:space="preserve"> We agreed to continue this arrangement in 2019/20, whilst identifying that we need to find a better way of calculating additional mainstream SEND funding support now that we have moved to National Funding Formula.</w:t>
      </w:r>
    </w:p>
    <w:p w:rsidR="005731CF" w:rsidRDefault="005731CF" w:rsidP="005731CF">
      <w:pPr>
        <w:jc w:val="both"/>
        <w:rPr>
          <w:sz w:val="22"/>
          <w:szCs w:val="22"/>
        </w:rPr>
      </w:pPr>
    </w:p>
    <w:p w:rsidR="005731CF" w:rsidRDefault="005731CF" w:rsidP="005731CF">
      <w:pPr>
        <w:jc w:val="both"/>
        <w:rPr>
          <w:sz w:val="22"/>
          <w:szCs w:val="22"/>
        </w:rPr>
      </w:pPr>
      <w:r>
        <w:rPr>
          <w:sz w:val="22"/>
          <w:szCs w:val="22"/>
        </w:rPr>
        <w:t>The DfE’s Call for Evidence on the financial arrangements for SEND and alternative provision, conducted in summer 2019, and the DfE’s announcement at the beginning of September of a larger SEND system review, are now important factors in our consideration of our notional SEND and SEND Funding Floor arrangements going forward. For example, the DfE’s Call for Evidence asked specific questions about whether the Regulations should be more prescriptive about how local authorities define notional SEND budgets and provide for minimum levels of SEND funding in mainstream schools. Generally, we are minded not to propose any amendments to our existing notional SEND and SEND Floor arrangements in 2020/21 and until the outcomes of the DfE’s reviews are known. We do not feel that it is productive to potentially implement new arrangements in these two important areas for these to be immediately overridden by new Finance Regulations.</w:t>
      </w:r>
      <w:r w:rsidR="0096548C">
        <w:rPr>
          <w:sz w:val="22"/>
          <w:szCs w:val="22"/>
        </w:rPr>
        <w:t xml:space="preserve"> As this</w:t>
      </w:r>
      <w:r>
        <w:rPr>
          <w:sz w:val="22"/>
          <w:szCs w:val="22"/>
        </w:rPr>
        <w:t xml:space="preserve"> high needs funding consultatio</w:t>
      </w:r>
      <w:r w:rsidR="0096548C">
        <w:rPr>
          <w:sz w:val="22"/>
          <w:szCs w:val="22"/>
        </w:rPr>
        <w:t>n also sets out, we propose</w:t>
      </w:r>
      <w:r>
        <w:rPr>
          <w:sz w:val="22"/>
          <w:szCs w:val="22"/>
        </w:rPr>
        <w:t xml:space="preserve"> changes to the banding model used for funding EHCPs, which will have knock on implications for the SEND Floor in particular. We think it is sensible to have a new model agreed and in place before seeking then to develop and adopt any new Floor mechanism.</w:t>
      </w:r>
    </w:p>
    <w:p w:rsidR="0096548C" w:rsidRDefault="0096548C" w:rsidP="00E37FC5">
      <w:pPr>
        <w:jc w:val="both"/>
        <w:rPr>
          <w:sz w:val="22"/>
          <w:szCs w:val="22"/>
        </w:rPr>
      </w:pPr>
    </w:p>
    <w:p w:rsidR="00E37FC5" w:rsidRPr="009879CD" w:rsidRDefault="00890444" w:rsidP="00E37FC5">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rsidR="00890444" w:rsidRDefault="00890444" w:rsidP="00E37FC5">
      <w:pPr>
        <w:jc w:val="both"/>
        <w:rPr>
          <w:sz w:val="22"/>
          <w:szCs w:val="22"/>
        </w:rPr>
      </w:pPr>
    </w:p>
    <w:p w:rsidR="005921B5" w:rsidRDefault="005921B5" w:rsidP="005921B5">
      <w:pPr>
        <w:jc w:val="both"/>
        <w:rPr>
          <w:sz w:val="22"/>
          <w:szCs w:val="22"/>
        </w:rPr>
      </w:pPr>
      <w:r>
        <w:rPr>
          <w:sz w:val="22"/>
          <w:szCs w:val="22"/>
        </w:rPr>
        <w:t>The</w:t>
      </w:r>
      <w:r w:rsidRPr="005921B5">
        <w:rPr>
          <w:sz w:val="22"/>
          <w:szCs w:val="22"/>
        </w:rPr>
        <w:t xml:space="preserve"> SEN</w:t>
      </w:r>
      <w:r>
        <w:rPr>
          <w:sz w:val="22"/>
          <w:szCs w:val="22"/>
        </w:rPr>
        <w:t>D</w:t>
      </w:r>
      <w:r w:rsidRPr="005921B5">
        <w:rPr>
          <w:sz w:val="22"/>
          <w:szCs w:val="22"/>
        </w:rPr>
        <w:t xml:space="preserve"> Floor provides a ‘top up’ where the SEN</w:t>
      </w:r>
      <w:r>
        <w:rPr>
          <w:sz w:val="22"/>
          <w:szCs w:val="22"/>
        </w:rPr>
        <w:t>D</w:t>
      </w:r>
      <w:r w:rsidRPr="005921B5">
        <w:rPr>
          <w:sz w:val="22"/>
          <w:szCs w:val="22"/>
        </w:rPr>
        <w:t xml:space="preserve"> formula does not allocate a minimum level of funding, after the </w:t>
      </w:r>
      <w:r w:rsidR="00305B0E">
        <w:rPr>
          <w:sz w:val="22"/>
          <w:szCs w:val="22"/>
        </w:rPr>
        <w:t xml:space="preserve">full </w:t>
      </w:r>
      <w:r w:rsidRPr="005921B5">
        <w:rPr>
          <w:sz w:val="22"/>
          <w:szCs w:val="22"/>
        </w:rPr>
        <w:t>cost of EHCPs has been removed. This is re-calculated on a monthly basis for changes in EHCP positions. SEN</w:t>
      </w:r>
      <w:r>
        <w:rPr>
          <w:sz w:val="22"/>
          <w:szCs w:val="22"/>
        </w:rPr>
        <w:t>D</w:t>
      </w:r>
      <w:r w:rsidRPr="005921B5">
        <w:rPr>
          <w:sz w:val="22"/>
          <w:szCs w:val="22"/>
        </w:rPr>
        <w:t xml:space="preserve"> formula funding is defined as the notional SEN</w:t>
      </w:r>
      <w:r>
        <w:rPr>
          <w:sz w:val="22"/>
          <w:szCs w:val="22"/>
        </w:rPr>
        <w:t>D</w:t>
      </w:r>
      <w:r w:rsidRPr="005921B5">
        <w:rPr>
          <w:sz w:val="22"/>
          <w:szCs w:val="22"/>
        </w:rPr>
        <w:t xml:space="preserve"> in the table above but does not include</w:t>
      </w:r>
      <w:r>
        <w:rPr>
          <w:sz w:val="22"/>
          <w:szCs w:val="22"/>
        </w:rPr>
        <w:t xml:space="preserve"> the</w:t>
      </w:r>
      <w:r w:rsidRPr="005921B5">
        <w:rPr>
          <w:sz w:val="22"/>
          <w:szCs w:val="22"/>
        </w:rPr>
        <w:t xml:space="preserve"> 5.5% (primary) / 4.5% (secondary) of the Base £APP element. The floor tops up funding to these minimums:</w:t>
      </w:r>
    </w:p>
    <w:p w:rsidR="005921B5" w:rsidRDefault="005921B5" w:rsidP="00C15620">
      <w:pPr>
        <w:pStyle w:val="ListParagraph"/>
        <w:numPr>
          <w:ilvl w:val="0"/>
          <w:numId w:val="7"/>
        </w:numPr>
        <w:jc w:val="both"/>
        <w:rPr>
          <w:sz w:val="22"/>
          <w:szCs w:val="22"/>
        </w:rPr>
      </w:pPr>
      <w:r w:rsidRPr="005921B5">
        <w:rPr>
          <w:sz w:val="22"/>
          <w:szCs w:val="22"/>
        </w:rPr>
        <w:t>For Primary schools and academies: £19,931 or £69.10 per pupil (whichever is greater)</w:t>
      </w:r>
      <w:r w:rsidR="0099705B">
        <w:rPr>
          <w:sz w:val="22"/>
          <w:szCs w:val="22"/>
        </w:rPr>
        <w:t>.</w:t>
      </w:r>
    </w:p>
    <w:p w:rsidR="005921B5" w:rsidRDefault="005921B5" w:rsidP="005921B5">
      <w:pPr>
        <w:pStyle w:val="ListParagraph"/>
        <w:jc w:val="both"/>
        <w:rPr>
          <w:sz w:val="22"/>
          <w:szCs w:val="22"/>
        </w:rPr>
      </w:pPr>
    </w:p>
    <w:p w:rsidR="005921B5" w:rsidRPr="005921B5" w:rsidRDefault="005921B5" w:rsidP="00C15620">
      <w:pPr>
        <w:pStyle w:val="ListParagraph"/>
        <w:numPr>
          <w:ilvl w:val="0"/>
          <w:numId w:val="7"/>
        </w:numPr>
        <w:jc w:val="both"/>
        <w:rPr>
          <w:sz w:val="22"/>
          <w:szCs w:val="22"/>
        </w:rPr>
      </w:pPr>
      <w:r w:rsidRPr="005921B5">
        <w:rPr>
          <w:sz w:val="22"/>
          <w:szCs w:val="22"/>
        </w:rPr>
        <w:t>For Secondary schools and academies £75,337 or £69.10 per pupil (whichever is greater)</w:t>
      </w:r>
      <w:r w:rsidR="0099705B">
        <w:rPr>
          <w:sz w:val="22"/>
          <w:szCs w:val="22"/>
        </w:rPr>
        <w:t>.</w:t>
      </w:r>
    </w:p>
    <w:p w:rsidR="005921B5" w:rsidRPr="000C0F0F" w:rsidRDefault="005921B5" w:rsidP="005921B5">
      <w:pPr>
        <w:jc w:val="both"/>
        <w:rPr>
          <w:sz w:val="22"/>
          <w:szCs w:val="22"/>
        </w:rPr>
      </w:pPr>
    </w:p>
    <w:p w:rsidR="005921B5" w:rsidRPr="005921B5" w:rsidRDefault="005921B5" w:rsidP="005921B5">
      <w:pPr>
        <w:jc w:val="both"/>
        <w:rPr>
          <w:sz w:val="22"/>
          <w:szCs w:val="22"/>
        </w:rPr>
      </w:pPr>
      <w:r>
        <w:rPr>
          <w:sz w:val="22"/>
          <w:szCs w:val="22"/>
        </w:rPr>
        <w:t>T</w:t>
      </w:r>
      <w:r w:rsidRPr="005921B5">
        <w:rPr>
          <w:sz w:val="22"/>
          <w:szCs w:val="22"/>
        </w:rPr>
        <w:t xml:space="preserve">he values of SEND Floor allocations for individual </w:t>
      </w:r>
      <w:r>
        <w:rPr>
          <w:sz w:val="22"/>
          <w:szCs w:val="22"/>
        </w:rPr>
        <w:t xml:space="preserve">primary and secondary </w:t>
      </w:r>
      <w:r w:rsidRPr="005921B5">
        <w:rPr>
          <w:sz w:val="22"/>
          <w:szCs w:val="22"/>
        </w:rPr>
        <w:t>schools and academies a</w:t>
      </w:r>
      <w:r>
        <w:rPr>
          <w:sz w:val="22"/>
          <w:szCs w:val="22"/>
        </w:rPr>
        <w:t>re currently protected at 2017/18</w:t>
      </w:r>
      <w:r w:rsidRPr="005921B5">
        <w:rPr>
          <w:sz w:val="22"/>
          <w:szCs w:val="22"/>
        </w:rPr>
        <w:t xml:space="preserve"> cash levels i.e. </w:t>
      </w:r>
      <w:r w:rsidR="007B515F">
        <w:rPr>
          <w:sz w:val="22"/>
          <w:szCs w:val="22"/>
        </w:rPr>
        <w:t>schools and academies in 2019/20</w:t>
      </w:r>
      <w:r>
        <w:rPr>
          <w:sz w:val="22"/>
          <w:szCs w:val="22"/>
        </w:rPr>
        <w:t xml:space="preserve"> received</w:t>
      </w:r>
      <w:r w:rsidRPr="005921B5">
        <w:rPr>
          <w:sz w:val="22"/>
          <w:szCs w:val="22"/>
        </w:rPr>
        <w:t xml:space="preserve"> at least the value of allocation they have received in 2017/18</w:t>
      </w:r>
      <w:r>
        <w:rPr>
          <w:sz w:val="22"/>
          <w:szCs w:val="22"/>
        </w:rPr>
        <w:t>.</w:t>
      </w:r>
      <w:r w:rsidR="00305B0E">
        <w:rPr>
          <w:sz w:val="22"/>
          <w:szCs w:val="22"/>
        </w:rPr>
        <w:t xml:space="preserve"> We propose to continue to apply this same protection in 2020/21 pending further review (as discussed above).</w:t>
      </w:r>
    </w:p>
    <w:p w:rsidR="00890444" w:rsidRDefault="00890444" w:rsidP="00E37FC5">
      <w:pPr>
        <w:jc w:val="both"/>
        <w:rPr>
          <w:sz w:val="22"/>
          <w:szCs w:val="22"/>
        </w:rPr>
      </w:pPr>
    </w:p>
    <w:p w:rsidR="00890444" w:rsidRPr="005462B3" w:rsidRDefault="00E2556D" w:rsidP="00E37FC5">
      <w:pPr>
        <w:jc w:val="both"/>
        <w:rPr>
          <w:b/>
          <w:sz w:val="22"/>
          <w:szCs w:val="22"/>
          <w:u w:val="single"/>
        </w:rPr>
      </w:pPr>
      <w:r w:rsidRPr="005462B3">
        <w:rPr>
          <w:b/>
          <w:sz w:val="22"/>
          <w:szCs w:val="22"/>
          <w:u w:val="single"/>
        </w:rPr>
        <w:t xml:space="preserve">Setting-Led Needs Factors – </w:t>
      </w:r>
      <w:r w:rsidR="000A3DE9" w:rsidRPr="005462B3">
        <w:rPr>
          <w:b/>
          <w:sz w:val="22"/>
          <w:szCs w:val="22"/>
          <w:u w:val="single"/>
        </w:rPr>
        <w:t xml:space="preserve">Maintained </w:t>
      </w:r>
      <w:r w:rsidRPr="005462B3">
        <w:rPr>
          <w:b/>
          <w:sz w:val="22"/>
          <w:szCs w:val="22"/>
          <w:u w:val="single"/>
        </w:rPr>
        <w:t>Special Schools</w:t>
      </w:r>
      <w:r w:rsidR="004C1C0E" w:rsidRPr="005462B3">
        <w:rPr>
          <w:b/>
          <w:sz w:val="22"/>
          <w:szCs w:val="22"/>
          <w:u w:val="single"/>
        </w:rPr>
        <w:t xml:space="preserve"> &amp; Special </w:t>
      </w:r>
      <w:r w:rsidR="000A3DE9" w:rsidRPr="005462B3">
        <w:rPr>
          <w:b/>
          <w:sz w:val="22"/>
          <w:szCs w:val="22"/>
          <w:u w:val="single"/>
        </w:rPr>
        <w:t xml:space="preserve">School </w:t>
      </w:r>
      <w:r w:rsidR="004C1C0E" w:rsidRPr="005462B3">
        <w:rPr>
          <w:b/>
          <w:sz w:val="22"/>
          <w:szCs w:val="22"/>
          <w:u w:val="single"/>
        </w:rPr>
        <w:t>Academies</w:t>
      </w:r>
    </w:p>
    <w:p w:rsidR="00890444" w:rsidRDefault="00890444" w:rsidP="00E37FC5">
      <w:pPr>
        <w:jc w:val="both"/>
        <w:rPr>
          <w:sz w:val="22"/>
          <w:szCs w:val="22"/>
        </w:rPr>
      </w:pPr>
    </w:p>
    <w:p w:rsidR="009879CD" w:rsidRPr="0006685B" w:rsidRDefault="009879CD" w:rsidP="009879CD">
      <w:pPr>
        <w:numPr>
          <w:ilvl w:val="0"/>
          <w:numId w:val="2"/>
        </w:numPr>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 xml:space="preserve">special schools </w:t>
      </w:r>
      <w:r>
        <w:rPr>
          <w:sz w:val="22"/>
          <w:szCs w:val="22"/>
        </w:rPr>
        <w:t>cannot access de-delegated and centrally managed services wit</w:t>
      </w:r>
      <w:r w:rsidR="000A3DE9">
        <w:rPr>
          <w:sz w:val="22"/>
          <w:szCs w:val="22"/>
        </w:rPr>
        <w:t>hout charge – to be set at a flat £393.85</w:t>
      </w:r>
      <w:r>
        <w:rPr>
          <w:sz w:val="22"/>
          <w:szCs w:val="22"/>
        </w:rPr>
        <w:t xml:space="preserve"> per pupil</w:t>
      </w:r>
      <w:r w:rsidR="005462B3">
        <w:rPr>
          <w:sz w:val="22"/>
          <w:szCs w:val="22"/>
        </w:rPr>
        <w:t xml:space="preserve"> in</w:t>
      </w:r>
      <w:r w:rsidR="000A3DE9">
        <w:rPr>
          <w:sz w:val="22"/>
          <w:szCs w:val="22"/>
        </w:rPr>
        <w:t xml:space="preserve"> 2020/21, which is the 2019/20 value of £364 increased by 8.2%</w:t>
      </w:r>
      <w:r w:rsidR="005462B3">
        <w:rPr>
          <w:sz w:val="22"/>
          <w:szCs w:val="22"/>
        </w:rPr>
        <w:t xml:space="preserve"> in line with the proposed increases in the main Banding Model values</w:t>
      </w:r>
      <w:r>
        <w:rPr>
          <w:sz w:val="22"/>
          <w:szCs w:val="22"/>
        </w:rPr>
        <w:t>. So a setting with 100 pupils receives</w:t>
      </w:r>
      <w:r w:rsidR="000A3DE9">
        <w:rPr>
          <w:sz w:val="22"/>
          <w:szCs w:val="22"/>
        </w:rPr>
        <w:t xml:space="preserve"> 100 x £393.85 = £39,385</w:t>
      </w:r>
      <w:r w:rsidR="003D0A94">
        <w:rPr>
          <w:sz w:val="22"/>
          <w:szCs w:val="22"/>
        </w:rPr>
        <w:t xml:space="preserve"> </w:t>
      </w:r>
      <w:r>
        <w:rPr>
          <w:sz w:val="22"/>
          <w:szCs w:val="22"/>
        </w:rPr>
        <w:t>funding.</w:t>
      </w:r>
    </w:p>
    <w:p w:rsidR="009879CD" w:rsidRDefault="009879CD" w:rsidP="009879CD">
      <w:pPr>
        <w:jc w:val="both"/>
        <w:rPr>
          <w:sz w:val="22"/>
          <w:szCs w:val="22"/>
        </w:rPr>
      </w:pPr>
    </w:p>
    <w:p w:rsidR="009879CD" w:rsidRDefault="009879CD" w:rsidP="009879CD">
      <w:pPr>
        <w:numPr>
          <w:ilvl w:val="0"/>
          <w:numId w:val="2"/>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stand-alone settings with fewer than 75 places, to ensure a minimum level of funding for fixed costs. The</w:t>
      </w:r>
      <w:r w:rsidR="000A3DE9">
        <w:rPr>
          <w:sz w:val="22"/>
          <w:szCs w:val="22"/>
        </w:rPr>
        <w:t xml:space="preserve"> formula</w:t>
      </w:r>
      <w:r>
        <w:rPr>
          <w:sz w:val="22"/>
          <w:szCs w:val="22"/>
        </w:rPr>
        <w:t xml:space="preserve"> is:</w:t>
      </w:r>
    </w:p>
    <w:p w:rsidR="003D0A94" w:rsidRDefault="003D0A94" w:rsidP="003D0A94">
      <w:pPr>
        <w:ind w:left="720"/>
        <w:jc w:val="both"/>
        <w:rPr>
          <w:sz w:val="22"/>
          <w:szCs w:val="22"/>
        </w:rPr>
      </w:pPr>
    </w:p>
    <w:p w:rsidR="009879CD" w:rsidRDefault="009879CD" w:rsidP="009879CD">
      <w:pPr>
        <w:jc w:val="both"/>
        <w:rPr>
          <w:sz w:val="22"/>
          <w:szCs w:val="22"/>
        </w:rPr>
      </w:pPr>
      <w:r>
        <w:rPr>
          <w:sz w:val="22"/>
          <w:szCs w:val="22"/>
        </w:rPr>
        <w:tab/>
        <w:t xml:space="preserve">A </w:t>
      </w:r>
      <w:r>
        <w:rPr>
          <w:sz w:val="22"/>
          <w:szCs w:val="22"/>
        </w:rPr>
        <w:tab/>
        <w:t xml:space="preserve">(75 x £10,000 x 20%) </w:t>
      </w:r>
    </w:p>
    <w:p w:rsidR="009879CD" w:rsidRDefault="009879CD" w:rsidP="009879CD">
      <w:pPr>
        <w:jc w:val="both"/>
        <w:rPr>
          <w:sz w:val="22"/>
          <w:szCs w:val="22"/>
        </w:rPr>
      </w:pPr>
      <w:r>
        <w:rPr>
          <w:sz w:val="22"/>
          <w:szCs w:val="22"/>
        </w:rPr>
        <w:tab/>
        <w:t xml:space="preserve">B  </w:t>
      </w:r>
      <w:r>
        <w:rPr>
          <w:sz w:val="22"/>
          <w:szCs w:val="22"/>
        </w:rPr>
        <w:tab/>
        <w:t xml:space="preserve">(setting’s place funding x 20%) </w:t>
      </w:r>
    </w:p>
    <w:p w:rsidR="009879CD" w:rsidRDefault="009879CD" w:rsidP="009879CD">
      <w:pPr>
        <w:jc w:val="both"/>
        <w:rPr>
          <w:sz w:val="22"/>
          <w:szCs w:val="22"/>
        </w:rPr>
      </w:pPr>
      <w:r>
        <w:rPr>
          <w:sz w:val="22"/>
          <w:szCs w:val="22"/>
        </w:rPr>
        <w:tab/>
        <w:t>= top up to the value of A where B is less than A</w:t>
      </w:r>
    </w:p>
    <w:p w:rsidR="009879CD" w:rsidRDefault="009879CD" w:rsidP="009879CD">
      <w:pPr>
        <w:jc w:val="both"/>
        <w:rPr>
          <w:sz w:val="22"/>
          <w:szCs w:val="22"/>
        </w:rPr>
      </w:pPr>
    </w:p>
    <w:p w:rsidR="009879CD" w:rsidRPr="001C07EB" w:rsidRDefault="009879CD" w:rsidP="009879CD">
      <w:pPr>
        <w:numPr>
          <w:ilvl w:val="0"/>
          <w:numId w:val="2"/>
        </w:numPr>
        <w:jc w:val="both"/>
        <w:rPr>
          <w:sz w:val="22"/>
          <w:szCs w:val="22"/>
          <w:u w:val="single"/>
        </w:rPr>
      </w:pPr>
      <w:r w:rsidRPr="0006685B">
        <w:rPr>
          <w:sz w:val="22"/>
          <w:szCs w:val="22"/>
          <w:u w:val="single"/>
        </w:rPr>
        <w:t>Split Sites</w:t>
      </w:r>
      <w:r>
        <w:rPr>
          <w:sz w:val="22"/>
          <w:szCs w:val="22"/>
        </w:rPr>
        <w:t xml:space="preserve"> – an additional sum for schools </w:t>
      </w:r>
      <w:r w:rsidR="000A3DE9">
        <w:rPr>
          <w:sz w:val="22"/>
          <w:szCs w:val="22"/>
        </w:rPr>
        <w:t xml:space="preserve">and academies </w:t>
      </w:r>
      <w:r>
        <w:rPr>
          <w:sz w:val="22"/>
          <w:szCs w:val="22"/>
        </w:rPr>
        <w:t xml:space="preserve">that operate across </w:t>
      </w:r>
      <w:r w:rsidR="000A3DE9">
        <w:rPr>
          <w:sz w:val="22"/>
          <w:szCs w:val="22"/>
        </w:rPr>
        <w:t xml:space="preserve">split / satellite </w:t>
      </w:r>
      <w:r>
        <w:rPr>
          <w:sz w:val="22"/>
          <w:szCs w:val="22"/>
        </w:rPr>
        <w:t>sites</w:t>
      </w:r>
      <w:r w:rsidR="000A3DE9">
        <w:rPr>
          <w:sz w:val="22"/>
          <w:szCs w:val="22"/>
        </w:rPr>
        <w:t xml:space="preserve">. The full year value of this lump sum is proposed to be enhanced to </w:t>
      </w:r>
      <w:r w:rsidR="004F509B">
        <w:rPr>
          <w:sz w:val="22"/>
          <w:szCs w:val="22"/>
        </w:rPr>
        <w:t>£198</w:t>
      </w:r>
      <w:r w:rsidR="000A3DE9">
        <w:rPr>
          <w:sz w:val="22"/>
          <w:szCs w:val="22"/>
        </w:rPr>
        <w:t>,500 in 2020/21, increased from the 2019/20 value of £162,850</w:t>
      </w:r>
      <w:r>
        <w:rPr>
          <w:sz w:val="22"/>
          <w:szCs w:val="22"/>
        </w:rPr>
        <w:t>.</w:t>
      </w:r>
      <w:r w:rsidR="000A3DE9">
        <w:rPr>
          <w:sz w:val="22"/>
          <w:szCs w:val="22"/>
        </w:rPr>
        <w:t xml:space="preserve"> The new value has been calculated taking the original / existing calculation of the additional costs of running across split sites (which was agreed in 2012</w:t>
      </w:r>
      <w:r w:rsidR="004F509B">
        <w:rPr>
          <w:sz w:val="22"/>
          <w:szCs w:val="22"/>
        </w:rPr>
        <w:t xml:space="preserve"> and aligned with the mainstream split site formula with a 5.25 weighting</w:t>
      </w:r>
      <w:r w:rsidR="005462B3">
        <w:rPr>
          <w:sz w:val="22"/>
          <w:szCs w:val="22"/>
        </w:rPr>
        <w:t xml:space="preserve"> a this point</w:t>
      </w:r>
      <w:r w:rsidR="000A3DE9">
        <w:rPr>
          <w:sz w:val="22"/>
          <w:szCs w:val="22"/>
        </w:rPr>
        <w:t xml:space="preserve">) and uplifting this for </w:t>
      </w:r>
      <w:r w:rsidR="00C217F2">
        <w:rPr>
          <w:sz w:val="22"/>
          <w:szCs w:val="22"/>
        </w:rPr>
        <w:t xml:space="preserve">2.5% </w:t>
      </w:r>
      <w:r w:rsidR="000A3DE9">
        <w:rPr>
          <w:sz w:val="22"/>
          <w:szCs w:val="22"/>
        </w:rPr>
        <w:t>inflation each year to 2020.</w:t>
      </w:r>
    </w:p>
    <w:p w:rsidR="009879CD" w:rsidRPr="005B2B0F" w:rsidRDefault="009879CD" w:rsidP="009879CD">
      <w:pPr>
        <w:ind w:left="720"/>
        <w:jc w:val="both"/>
        <w:rPr>
          <w:sz w:val="22"/>
          <w:szCs w:val="22"/>
          <w:u w:val="single"/>
        </w:rPr>
      </w:pPr>
    </w:p>
    <w:p w:rsidR="003D0A94" w:rsidRPr="00A03632" w:rsidRDefault="009879CD" w:rsidP="003D0A94">
      <w:pPr>
        <w:numPr>
          <w:ilvl w:val="0"/>
          <w:numId w:val="2"/>
        </w:numPr>
        <w:jc w:val="both"/>
        <w:rPr>
          <w:sz w:val="22"/>
          <w:szCs w:val="22"/>
          <w:u w:val="single"/>
        </w:rPr>
      </w:pPr>
      <w:r w:rsidRPr="00922622">
        <w:rPr>
          <w:color w:val="000000"/>
          <w:sz w:val="22"/>
          <w:szCs w:val="22"/>
          <w:u w:val="single"/>
        </w:rPr>
        <w:t>Post 16 Places</w:t>
      </w:r>
      <w:r w:rsidRPr="00922622">
        <w:rPr>
          <w:color w:val="000000"/>
          <w:sz w:val="22"/>
          <w:szCs w:val="22"/>
        </w:rPr>
        <w:t xml:space="preserve"> – an additional sum per Post 16 place, t</w:t>
      </w:r>
      <w:r w:rsidR="009968E9">
        <w:rPr>
          <w:color w:val="000000"/>
          <w:sz w:val="22"/>
          <w:szCs w:val="22"/>
        </w:rPr>
        <w:t>o allocate an</w:t>
      </w:r>
      <w:r w:rsidR="004F509B">
        <w:rPr>
          <w:color w:val="000000"/>
          <w:sz w:val="22"/>
          <w:szCs w:val="22"/>
        </w:rPr>
        <w:t xml:space="preserve"> additional £1,2</w:t>
      </w:r>
      <w:r>
        <w:rPr>
          <w:color w:val="000000"/>
          <w:sz w:val="22"/>
          <w:szCs w:val="22"/>
        </w:rPr>
        <w:t>00</w:t>
      </w:r>
      <w:r w:rsidRPr="00922622">
        <w:rPr>
          <w:color w:val="000000"/>
          <w:sz w:val="22"/>
          <w:szCs w:val="22"/>
        </w:rPr>
        <w:t xml:space="preserve"> per</w:t>
      </w:r>
      <w:r w:rsidR="005462B3">
        <w:rPr>
          <w:color w:val="000000"/>
          <w:sz w:val="22"/>
          <w:szCs w:val="22"/>
        </w:rPr>
        <w:t xml:space="preserve"> </w:t>
      </w:r>
      <w:r w:rsidRPr="00922622">
        <w:rPr>
          <w:color w:val="000000"/>
          <w:sz w:val="22"/>
          <w:szCs w:val="22"/>
        </w:rPr>
        <w:t>place</w:t>
      </w:r>
      <w:r w:rsidR="009968E9">
        <w:rPr>
          <w:color w:val="000000"/>
          <w:sz w:val="22"/>
          <w:szCs w:val="22"/>
        </w:rPr>
        <w:t xml:space="preserve"> increased from £1,100 in 2019/20</w:t>
      </w:r>
      <w:r w:rsidR="004F509B">
        <w:rPr>
          <w:color w:val="000000"/>
          <w:sz w:val="22"/>
          <w:szCs w:val="22"/>
        </w:rPr>
        <w:t xml:space="preserve">. </w:t>
      </w:r>
      <w:r>
        <w:rPr>
          <w:sz w:val="22"/>
          <w:szCs w:val="22"/>
        </w:rPr>
        <w:t>This</w:t>
      </w:r>
      <w:r w:rsidRPr="00522700">
        <w:rPr>
          <w:sz w:val="22"/>
          <w:szCs w:val="22"/>
        </w:rPr>
        <w:t xml:space="preserve"> ensure</w:t>
      </w:r>
      <w:r>
        <w:rPr>
          <w:sz w:val="22"/>
          <w:szCs w:val="22"/>
        </w:rPr>
        <w:t>s</w:t>
      </w:r>
      <w:r w:rsidRPr="00522700">
        <w:rPr>
          <w:sz w:val="22"/>
          <w:szCs w:val="22"/>
        </w:rPr>
        <w:t xml:space="preserve"> that special schools with post 16 places</w:t>
      </w:r>
      <w:r>
        <w:rPr>
          <w:sz w:val="22"/>
          <w:szCs w:val="22"/>
        </w:rPr>
        <w:t xml:space="preserve"> </w:t>
      </w:r>
      <w:r w:rsidR="004F509B">
        <w:rPr>
          <w:sz w:val="22"/>
          <w:szCs w:val="22"/>
        </w:rPr>
        <w:t>receive the nationally set DfE value of element 1 for post 16 pupils, which is £5,200 in 2020/21.</w:t>
      </w:r>
    </w:p>
    <w:p w:rsidR="00A03632" w:rsidRPr="003D0A94" w:rsidRDefault="00A03632" w:rsidP="00A03632">
      <w:pPr>
        <w:ind w:left="720"/>
        <w:jc w:val="both"/>
        <w:rPr>
          <w:sz w:val="22"/>
          <w:szCs w:val="22"/>
          <w:u w:val="single"/>
        </w:rPr>
      </w:pPr>
    </w:p>
    <w:p w:rsidR="00890444" w:rsidRPr="004C1C0E" w:rsidRDefault="004C1C0E" w:rsidP="009879CD">
      <w:pPr>
        <w:numPr>
          <w:ilvl w:val="0"/>
          <w:numId w:val="2"/>
        </w:numPr>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w:t>
      </w:r>
      <w:r w:rsidR="005462B3">
        <w:rPr>
          <w:color w:val="000000"/>
          <w:sz w:val="22"/>
          <w:szCs w:val="22"/>
        </w:rPr>
        <w:t xml:space="preserve">safety net </w:t>
      </w:r>
      <w:r w:rsidR="009879CD" w:rsidRPr="004C1C0E">
        <w:rPr>
          <w:color w:val="000000"/>
          <w:sz w:val="22"/>
          <w:szCs w:val="22"/>
        </w:rPr>
        <w:t>protection,</w:t>
      </w:r>
      <w:r>
        <w:rPr>
          <w:color w:val="000000"/>
          <w:sz w:val="22"/>
          <w:szCs w:val="22"/>
        </w:rPr>
        <w:t xml:space="preserve"> </w:t>
      </w:r>
      <w:r w:rsidR="009879CD" w:rsidRPr="004C1C0E">
        <w:rPr>
          <w:color w:val="000000"/>
          <w:sz w:val="22"/>
          <w:szCs w:val="22"/>
        </w:rPr>
        <w:t>which ensures that at no po</w:t>
      </w:r>
      <w:r w:rsidR="004F509B">
        <w:rPr>
          <w:color w:val="000000"/>
          <w:sz w:val="22"/>
          <w:szCs w:val="22"/>
        </w:rPr>
        <w:t>int during 2020/21</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sidR="004F509B">
        <w:rPr>
          <w:color w:val="000000"/>
          <w:sz w:val="22"/>
          <w:szCs w:val="22"/>
        </w:rPr>
        <w:t>% lower than the 2019/20</w:t>
      </w:r>
      <w:r w:rsidR="005462B3">
        <w:rPr>
          <w:color w:val="000000"/>
          <w:sz w:val="22"/>
          <w:szCs w:val="22"/>
        </w:rPr>
        <w:t xml:space="preserve"> total level of funding. </w:t>
      </w:r>
      <w:r w:rsidR="004F509B">
        <w:rPr>
          <w:color w:val="000000"/>
          <w:sz w:val="22"/>
          <w:szCs w:val="22"/>
        </w:rPr>
        <w:t>As most special schools are</w:t>
      </w:r>
      <w:r w:rsidR="005462B3">
        <w:rPr>
          <w:color w:val="000000"/>
          <w:sz w:val="22"/>
          <w:szCs w:val="22"/>
        </w:rPr>
        <w:t xml:space="preserve"> / have been</w:t>
      </w:r>
      <w:r w:rsidR="004F509B">
        <w:rPr>
          <w:color w:val="000000"/>
          <w:sz w:val="22"/>
          <w:szCs w:val="22"/>
        </w:rPr>
        <w:t xml:space="preserve"> increasing place</w:t>
      </w:r>
      <w:r w:rsidR="005462B3">
        <w:rPr>
          <w:color w:val="000000"/>
          <w:sz w:val="22"/>
          <w:szCs w:val="22"/>
        </w:rPr>
        <w:t>s</w:t>
      </w:r>
      <w:r w:rsidR="004F509B">
        <w:rPr>
          <w:color w:val="000000"/>
          <w:sz w:val="22"/>
          <w:szCs w:val="22"/>
        </w:rPr>
        <w:t>, this is not a factor that was needed in 2019/20, but remains in place to ensure a safety net.</w:t>
      </w:r>
    </w:p>
    <w:p w:rsidR="0066340D" w:rsidRDefault="0066340D" w:rsidP="00E37FC5">
      <w:pPr>
        <w:jc w:val="both"/>
        <w:rPr>
          <w:sz w:val="22"/>
          <w:szCs w:val="22"/>
        </w:rPr>
      </w:pPr>
    </w:p>
    <w:p w:rsidR="003D0A94" w:rsidRPr="000A3DE9" w:rsidRDefault="003D0A94" w:rsidP="003D0A94">
      <w:pPr>
        <w:jc w:val="both"/>
        <w:rPr>
          <w:sz w:val="22"/>
          <w:szCs w:val="22"/>
        </w:rPr>
      </w:pPr>
      <w:r w:rsidRPr="000A3DE9">
        <w:rPr>
          <w:b/>
          <w:sz w:val="22"/>
          <w:szCs w:val="22"/>
          <w:u w:val="single"/>
        </w:rPr>
        <w:t xml:space="preserve">Setting-Led Needs Factors – </w:t>
      </w:r>
      <w:r w:rsidR="00A03632" w:rsidRPr="000A3DE9">
        <w:rPr>
          <w:b/>
          <w:sz w:val="22"/>
          <w:szCs w:val="22"/>
          <w:u w:val="single"/>
        </w:rPr>
        <w:t xml:space="preserve">School-Led </w:t>
      </w:r>
      <w:r w:rsidRPr="000A3DE9">
        <w:rPr>
          <w:b/>
          <w:sz w:val="22"/>
          <w:szCs w:val="22"/>
          <w:u w:val="single"/>
        </w:rPr>
        <w:t>R</w:t>
      </w:r>
      <w:r w:rsidR="00A03632" w:rsidRPr="000A3DE9">
        <w:rPr>
          <w:b/>
          <w:sz w:val="22"/>
          <w:szCs w:val="22"/>
          <w:u w:val="single"/>
        </w:rPr>
        <w:t>esourced Provisions</w:t>
      </w:r>
      <w:r w:rsidR="00FC0D5E" w:rsidRPr="000A3DE9">
        <w:rPr>
          <w:b/>
          <w:sz w:val="22"/>
          <w:szCs w:val="22"/>
          <w:u w:val="single"/>
        </w:rPr>
        <w:t xml:space="preserve"> </w:t>
      </w:r>
      <w:r w:rsidRPr="000A3DE9">
        <w:rPr>
          <w:b/>
          <w:sz w:val="22"/>
          <w:szCs w:val="22"/>
          <w:u w:val="single"/>
        </w:rPr>
        <w:t>Mainstream Primary &amp; Secondary Schools</w:t>
      </w:r>
      <w:r w:rsidR="00FC0D5E" w:rsidRPr="000A3DE9">
        <w:rPr>
          <w:b/>
          <w:sz w:val="22"/>
          <w:szCs w:val="22"/>
          <w:u w:val="single"/>
        </w:rPr>
        <w:t xml:space="preserve"> and Academies</w:t>
      </w:r>
    </w:p>
    <w:p w:rsidR="00BE2009" w:rsidRPr="000A3DE9" w:rsidRDefault="00BE2009" w:rsidP="000A3DE9">
      <w:pPr>
        <w:jc w:val="both"/>
        <w:rPr>
          <w:sz w:val="22"/>
          <w:szCs w:val="22"/>
        </w:rPr>
      </w:pPr>
    </w:p>
    <w:p w:rsidR="00BE2009" w:rsidRDefault="00BE2009" w:rsidP="00C15620">
      <w:pPr>
        <w:numPr>
          <w:ilvl w:val="0"/>
          <w:numId w:val="8"/>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sidR="000A3DE9">
        <w:rPr>
          <w:sz w:val="22"/>
          <w:szCs w:val="22"/>
        </w:rPr>
        <w:t xml:space="preserve"> – an additional sum for provisions</w:t>
      </w:r>
      <w:r w:rsidR="00DA358B">
        <w:rPr>
          <w:sz w:val="22"/>
          <w:szCs w:val="22"/>
        </w:rPr>
        <w:t xml:space="preserve"> with fewer than 24</w:t>
      </w:r>
      <w:r>
        <w:rPr>
          <w:sz w:val="22"/>
          <w:szCs w:val="22"/>
        </w:rPr>
        <w:t xml:space="preserve"> </w:t>
      </w:r>
      <w:r w:rsidR="000A3DE9">
        <w:rPr>
          <w:sz w:val="22"/>
          <w:szCs w:val="22"/>
        </w:rPr>
        <w:t xml:space="preserve">FTE </w:t>
      </w:r>
      <w:r>
        <w:rPr>
          <w:sz w:val="22"/>
          <w:szCs w:val="22"/>
        </w:rPr>
        <w:t xml:space="preserve">places, to ensure a minimum level of funding for </w:t>
      </w:r>
      <w:r w:rsidR="000A3DE9">
        <w:rPr>
          <w:sz w:val="22"/>
          <w:szCs w:val="22"/>
        </w:rPr>
        <w:t xml:space="preserve">fixed costs. The formula </w:t>
      </w:r>
      <w:r>
        <w:rPr>
          <w:sz w:val="22"/>
          <w:szCs w:val="22"/>
        </w:rPr>
        <w:t>is:</w:t>
      </w:r>
    </w:p>
    <w:p w:rsidR="00BE2009" w:rsidRDefault="00BE2009" w:rsidP="00BE2009">
      <w:pPr>
        <w:pStyle w:val="ListParagraph"/>
        <w:jc w:val="both"/>
        <w:rPr>
          <w:sz w:val="22"/>
          <w:szCs w:val="22"/>
        </w:rPr>
      </w:pPr>
    </w:p>
    <w:p w:rsidR="00DA358B" w:rsidRDefault="00DA358B" w:rsidP="00DA358B">
      <w:pPr>
        <w:jc w:val="both"/>
        <w:rPr>
          <w:sz w:val="22"/>
          <w:szCs w:val="22"/>
        </w:rPr>
      </w:pPr>
      <w:r>
        <w:rPr>
          <w:sz w:val="22"/>
          <w:szCs w:val="22"/>
        </w:rPr>
        <w:tab/>
        <w:t xml:space="preserve">A </w:t>
      </w:r>
      <w:r>
        <w:rPr>
          <w:sz w:val="22"/>
          <w:szCs w:val="22"/>
        </w:rPr>
        <w:tab/>
        <w:t>(24</w:t>
      </w:r>
      <w:r w:rsidR="000A3DE9">
        <w:rPr>
          <w:sz w:val="22"/>
          <w:szCs w:val="22"/>
        </w:rPr>
        <w:t xml:space="preserve"> FTE</w:t>
      </w:r>
      <w:r>
        <w:rPr>
          <w:sz w:val="22"/>
          <w:szCs w:val="22"/>
        </w:rPr>
        <w:t xml:space="preserve"> x £10,000 x 20%) </w:t>
      </w:r>
    </w:p>
    <w:p w:rsidR="00DA358B" w:rsidRDefault="00DA358B" w:rsidP="00DA358B">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rsidR="00DA358B" w:rsidRPr="00133239" w:rsidRDefault="00DA358B" w:rsidP="00133239">
      <w:pPr>
        <w:jc w:val="both"/>
        <w:rPr>
          <w:sz w:val="22"/>
          <w:szCs w:val="22"/>
        </w:rPr>
      </w:pPr>
      <w:r>
        <w:rPr>
          <w:sz w:val="22"/>
          <w:szCs w:val="22"/>
        </w:rPr>
        <w:tab/>
        <w:t>= top up to the value of A where B is less than A</w:t>
      </w:r>
    </w:p>
    <w:p w:rsidR="00DA358B" w:rsidRDefault="00DA358B" w:rsidP="00BE2009">
      <w:pPr>
        <w:pStyle w:val="ListParagraph"/>
        <w:jc w:val="both"/>
        <w:rPr>
          <w:sz w:val="22"/>
          <w:szCs w:val="22"/>
        </w:rPr>
      </w:pPr>
    </w:p>
    <w:p w:rsidR="00BE2009" w:rsidRPr="00BE2009" w:rsidRDefault="00BE2009" w:rsidP="00C15620">
      <w:pPr>
        <w:pStyle w:val="ListParagraph"/>
        <w:numPr>
          <w:ilvl w:val="0"/>
          <w:numId w:val="8"/>
        </w:numPr>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rsidR="005462B3" w:rsidRDefault="005462B3" w:rsidP="001B416B">
      <w:pPr>
        <w:jc w:val="both"/>
        <w:rPr>
          <w:sz w:val="22"/>
          <w:szCs w:val="22"/>
        </w:rPr>
      </w:pPr>
    </w:p>
    <w:p w:rsidR="00A03632" w:rsidRPr="000A3DE9" w:rsidRDefault="00A03632" w:rsidP="00A03632">
      <w:pPr>
        <w:jc w:val="both"/>
        <w:rPr>
          <w:sz w:val="22"/>
          <w:szCs w:val="22"/>
        </w:rPr>
      </w:pPr>
      <w:r w:rsidRPr="000A3DE9">
        <w:rPr>
          <w:b/>
          <w:sz w:val="22"/>
          <w:szCs w:val="22"/>
          <w:u w:val="single"/>
        </w:rPr>
        <w:t>Setting-Led Needs Factors – E</w:t>
      </w:r>
      <w:r w:rsidR="000A3DE9" w:rsidRPr="000A3DE9">
        <w:rPr>
          <w:b/>
          <w:sz w:val="22"/>
          <w:szCs w:val="22"/>
          <w:u w:val="single"/>
        </w:rPr>
        <w:t>arly Years Enhanced Specialist Provisions</w:t>
      </w:r>
    </w:p>
    <w:p w:rsidR="001F06CE" w:rsidRDefault="001F06CE" w:rsidP="001B416B">
      <w:pPr>
        <w:jc w:val="both"/>
        <w:rPr>
          <w:sz w:val="22"/>
          <w:szCs w:val="22"/>
        </w:rPr>
      </w:pPr>
    </w:p>
    <w:p w:rsidR="000A3DE9" w:rsidRDefault="000A3DE9" w:rsidP="00C15620">
      <w:pPr>
        <w:numPr>
          <w:ilvl w:val="0"/>
          <w:numId w:val="8"/>
        </w:numPr>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proposed to be added from 1 April 2020 using the School-Led Resourced Provisions formula described above.</w:t>
      </w:r>
    </w:p>
    <w:p w:rsidR="001F06CE" w:rsidRDefault="001F06CE" w:rsidP="001B416B">
      <w:pPr>
        <w:jc w:val="both"/>
        <w:rPr>
          <w:sz w:val="22"/>
          <w:szCs w:val="22"/>
        </w:rPr>
      </w:pPr>
    </w:p>
    <w:p w:rsidR="00E37FC5" w:rsidRDefault="00E37FC5" w:rsidP="00E37FC5">
      <w:pPr>
        <w:jc w:val="both"/>
        <w:rPr>
          <w:sz w:val="22"/>
          <w:szCs w:val="22"/>
        </w:rPr>
      </w:pPr>
    </w:p>
    <w:p w:rsidR="005462B3" w:rsidRDefault="005462B3" w:rsidP="00E37FC5">
      <w:pPr>
        <w:jc w:val="both"/>
        <w:rPr>
          <w:sz w:val="22"/>
          <w:szCs w:val="22"/>
        </w:rPr>
        <w:sectPr w:rsidR="005462B3" w:rsidSect="00ED7708">
          <w:pgSz w:w="11906" w:h="16838"/>
          <w:pgMar w:top="624" w:right="624" w:bottom="624" w:left="624" w:header="709" w:footer="709" w:gutter="0"/>
          <w:cols w:space="708"/>
          <w:docGrid w:linePitch="360"/>
        </w:sectPr>
      </w:pPr>
    </w:p>
    <w:p w:rsidR="002D189F" w:rsidRPr="006464A0" w:rsidRDefault="002D189F" w:rsidP="002D189F">
      <w:pPr>
        <w:jc w:val="center"/>
        <w:rPr>
          <w:b/>
          <w:sz w:val="22"/>
          <w:szCs w:val="22"/>
        </w:rPr>
      </w:pPr>
      <w:r>
        <w:rPr>
          <w:b/>
          <w:sz w:val="22"/>
          <w:szCs w:val="22"/>
        </w:rPr>
        <w:t>Appendix 5</w:t>
      </w:r>
      <w:r w:rsidRPr="006464A0">
        <w:rPr>
          <w:b/>
          <w:sz w:val="22"/>
          <w:szCs w:val="22"/>
        </w:rPr>
        <w:t xml:space="preserve"> – </w:t>
      </w:r>
      <w:r>
        <w:rPr>
          <w:b/>
          <w:sz w:val="22"/>
          <w:szCs w:val="22"/>
        </w:rPr>
        <w:t>2020/21 Planned Commissioned Places</w:t>
      </w:r>
    </w:p>
    <w:p w:rsidR="00E37FC5" w:rsidRDefault="00E37FC5" w:rsidP="00E37FC5">
      <w:pPr>
        <w:jc w:val="both"/>
        <w:rPr>
          <w:sz w:val="22"/>
          <w:szCs w:val="22"/>
        </w:rPr>
      </w:pPr>
    </w:p>
    <w:p w:rsidR="00E37FC5" w:rsidRDefault="00D67A8E" w:rsidP="00E37FC5">
      <w:pPr>
        <w:jc w:val="both"/>
        <w:rPr>
          <w:sz w:val="22"/>
          <w:szCs w:val="22"/>
        </w:rPr>
      </w:pPr>
      <w:r w:rsidRPr="00D67A8E">
        <w:drawing>
          <wp:inline distT="0" distB="0" distL="0" distR="0" wp14:anchorId="6B4AE44C" wp14:editId="33251ABE">
            <wp:extent cx="6479540" cy="85409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8540932"/>
                    </a:xfrm>
                    <a:prstGeom prst="rect">
                      <a:avLst/>
                    </a:prstGeom>
                    <a:noFill/>
                    <a:ln>
                      <a:noFill/>
                    </a:ln>
                  </pic:spPr>
                </pic:pic>
              </a:graphicData>
            </a:graphic>
          </wp:inline>
        </w:drawing>
      </w: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Default="00E37FC5" w:rsidP="00E37FC5">
      <w:pPr>
        <w:jc w:val="both"/>
        <w:rPr>
          <w:sz w:val="22"/>
          <w:szCs w:val="22"/>
        </w:rPr>
      </w:pPr>
    </w:p>
    <w:p w:rsidR="00E37FC5" w:rsidRPr="00E37FC5" w:rsidRDefault="00E37FC5" w:rsidP="00E37FC5">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bookmarkStart w:id="0" w:name="_GoBack"/>
      <w:bookmarkEnd w:id="0"/>
    </w:p>
    <w:p w:rsidR="007629C4" w:rsidRDefault="007629C4" w:rsidP="007629C4">
      <w:pPr>
        <w:jc w:val="center"/>
        <w:rPr>
          <w:b/>
          <w:sz w:val="28"/>
          <w:szCs w:val="28"/>
          <w:u w:val="single"/>
        </w:rPr>
        <w:sectPr w:rsidR="007629C4" w:rsidSect="00995305">
          <w:footerReference w:type="default" r:id="rId17"/>
          <w:pgSz w:w="11906" w:h="16838" w:code="9"/>
          <w:pgMar w:top="907" w:right="851" w:bottom="907" w:left="851" w:header="567" w:footer="709" w:gutter="0"/>
          <w:cols w:space="708"/>
          <w:docGrid w:linePitch="360"/>
        </w:sectPr>
      </w:pPr>
    </w:p>
    <w:p w:rsidR="007629C4" w:rsidRDefault="002D189F" w:rsidP="007629C4">
      <w:pPr>
        <w:jc w:val="center"/>
        <w:rPr>
          <w:b/>
          <w:sz w:val="28"/>
          <w:szCs w:val="28"/>
          <w:u w:val="single"/>
        </w:rPr>
      </w:pPr>
      <w:r>
        <w:rPr>
          <w:b/>
          <w:sz w:val="28"/>
          <w:szCs w:val="28"/>
          <w:u w:val="single"/>
        </w:rPr>
        <w:t xml:space="preserve">Appendix 6 - </w:t>
      </w:r>
      <w:r w:rsidR="007629C4">
        <w:rPr>
          <w:b/>
          <w:sz w:val="28"/>
          <w:szCs w:val="28"/>
          <w:u w:val="single"/>
        </w:rPr>
        <w:t xml:space="preserve">RESPONSES </w:t>
      </w:r>
      <w:smartTag w:uri="urn:schemas-microsoft-com:office:smarttags" w:element="stockticker">
        <w:r w:rsidR="007629C4">
          <w:rPr>
            <w:b/>
            <w:sz w:val="28"/>
            <w:szCs w:val="28"/>
            <w:u w:val="single"/>
          </w:rPr>
          <w:t>FORM</w:t>
        </w:r>
      </w:smartTag>
    </w:p>
    <w:p w:rsidR="007629C4" w:rsidRDefault="007629C4" w:rsidP="007629C4">
      <w:pPr>
        <w:jc w:val="center"/>
        <w:rPr>
          <w:b/>
          <w:sz w:val="28"/>
          <w:szCs w:val="28"/>
          <w:u w:val="single"/>
        </w:rPr>
      </w:pPr>
    </w:p>
    <w:p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w:t>
      </w:r>
      <w:r w:rsidR="001F546A">
        <w:rPr>
          <w:b/>
          <w:sz w:val="28"/>
          <w:szCs w:val="28"/>
          <w:u w:val="single"/>
        </w:rPr>
        <w:t>unding High Needs Provision 2020/21</w:t>
      </w:r>
    </w:p>
    <w:p w:rsidR="007629C4" w:rsidRPr="00406CDD" w:rsidRDefault="007629C4" w:rsidP="007629C4">
      <w:pPr>
        <w:jc w:val="center"/>
        <w:rPr>
          <w:rFonts w:cs="Arial"/>
          <w:b/>
          <w:sz w:val="32"/>
          <w:szCs w:val="32"/>
          <w:u w:val="single"/>
        </w:rPr>
      </w:pPr>
    </w:p>
    <w:p w:rsidR="007629C4" w:rsidRDefault="007629C4" w:rsidP="007629C4">
      <w:pPr>
        <w:jc w:val="both"/>
        <w:rPr>
          <w:rFonts w:cs="Arial"/>
          <w:b/>
          <w:u w:val="single"/>
        </w:rPr>
      </w:pPr>
    </w:p>
    <w:p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7629C4" w:rsidRPr="00A70F31" w:rsidRDefault="007629C4" w:rsidP="007629C4">
      <w:pPr>
        <w:jc w:val="both"/>
        <w:rPr>
          <w:rFonts w:cs="Arial"/>
          <w:b/>
          <w:sz w:val="16"/>
          <w:szCs w:val="16"/>
          <w:u w:val="single"/>
        </w:rPr>
      </w:pPr>
    </w:p>
    <w:p w:rsidR="007629C4" w:rsidRPr="00A70F31" w:rsidRDefault="007629C4" w:rsidP="007629C4">
      <w:pPr>
        <w:jc w:val="center"/>
        <w:rPr>
          <w:rFonts w:cs="Arial"/>
          <w:b/>
          <w:color w:val="FF0000"/>
          <w:sz w:val="16"/>
          <w:szCs w:val="16"/>
        </w:rPr>
      </w:pPr>
    </w:p>
    <w:p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0D04FA">
        <w:rPr>
          <w:rFonts w:cs="Arial"/>
          <w:b/>
          <w:color w:val="FF0000"/>
          <w:sz w:val="22"/>
          <w:szCs w:val="22"/>
        </w:rPr>
        <w:t>ON IS TUESDAY 4 FEBRUARY 2020</w:t>
      </w:r>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send completed questionnaire responses to:</w:t>
      </w:r>
    </w:p>
    <w:p w:rsidR="007629C4" w:rsidRDefault="007629C4" w:rsidP="007629C4">
      <w:pPr>
        <w:jc w:val="both"/>
        <w:rPr>
          <w:rFonts w:cs="Arial"/>
        </w:rPr>
      </w:pPr>
    </w:p>
    <w:p w:rsidR="007629C4" w:rsidRDefault="007629C4" w:rsidP="007629C4">
      <w:pPr>
        <w:jc w:val="both"/>
        <w:rPr>
          <w:rFonts w:cs="Arial"/>
        </w:rPr>
      </w:pPr>
      <w:smartTag w:uri="urn:schemas-microsoft-com:office:smarttags" w:element="PersonName">
        <w:smartTag w:uri="urn:schemas-microsoft-com:office:smarttags" w:element="PersonName">
          <w:r>
            <w:rPr>
              <w:rFonts w:cs="Arial"/>
            </w:rPr>
            <w:t>School Funding</w:t>
          </w:r>
        </w:smartTag>
        <w:r>
          <w:rPr>
            <w:rFonts w:cs="Arial"/>
          </w:rPr>
          <w:t xml:space="preserve"> Team</w:t>
        </w:r>
      </w:smartTag>
    </w:p>
    <w:p w:rsidR="007629C4" w:rsidRDefault="007629C4" w:rsidP="007629C4">
      <w:pPr>
        <w:jc w:val="both"/>
        <w:rPr>
          <w:rFonts w:cs="Arial"/>
        </w:rPr>
      </w:pPr>
      <w:r>
        <w:rPr>
          <w:rFonts w:cs="Arial"/>
        </w:rPr>
        <w:t>City of Bradford Metropolitan District Council</w:t>
      </w:r>
    </w:p>
    <w:p w:rsidR="007629C4" w:rsidRDefault="007629C4" w:rsidP="007629C4">
      <w:pPr>
        <w:jc w:val="both"/>
        <w:rPr>
          <w:rFonts w:cs="Arial"/>
        </w:rPr>
      </w:pPr>
      <w:r>
        <w:rPr>
          <w:rFonts w:cs="Arial"/>
        </w:rPr>
        <w:t>1st Floor, Britannia House,</w:t>
      </w:r>
    </w:p>
    <w:p w:rsidR="007629C4" w:rsidRDefault="007629C4" w:rsidP="007629C4">
      <w:pPr>
        <w:jc w:val="both"/>
        <w:rPr>
          <w:rFonts w:cs="Arial"/>
        </w:rPr>
      </w:pPr>
      <w:r>
        <w:rPr>
          <w:rFonts w:cs="Arial"/>
        </w:rPr>
        <w:t xml:space="preserve">Hall </w:t>
      </w:r>
      <w:proofErr w:type="spellStart"/>
      <w:r>
        <w:rPr>
          <w:rFonts w:cs="Arial"/>
        </w:rPr>
        <w:t>Ings</w:t>
      </w:r>
      <w:proofErr w:type="spellEnd"/>
    </w:p>
    <w:p w:rsidR="007629C4" w:rsidRDefault="007629C4" w:rsidP="007629C4">
      <w:pPr>
        <w:jc w:val="both"/>
        <w:rPr>
          <w:rFonts w:cs="Arial"/>
        </w:rPr>
      </w:pPr>
      <w:smartTag w:uri="urn:schemas-microsoft-com:office:smarttags" w:element="place">
        <w:r>
          <w:rPr>
            <w:rFonts w:cs="Arial"/>
          </w:rPr>
          <w:t>Bradford</w:t>
        </w:r>
      </w:smartTag>
    </w:p>
    <w:p w:rsidR="007629C4" w:rsidRDefault="007629C4" w:rsidP="007629C4">
      <w:pPr>
        <w:jc w:val="both"/>
        <w:rPr>
          <w:rFonts w:cs="Arial"/>
        </w:rPr>
      </w:pPr>
      <w:r>
        <w:rPr>
          <w:rFonts w:cs="Arial"/>
        </w:rPr>
        <w:t>BD1 1HX</w:t>
      </w:r>
    </w:p>
    <w:p w:rsidR="007629C4" w:rsidRDefault="007629C4" w:rsidP="007629C4">
      <w:pPr>
        <w:jc w:val="both"/>
        <w:rPr>
          <w:rFonts w:cs="Arial"/>
        </w:rPr>
      </w:pPr>
    </w:p>
    <w:p w:rsidR="007629C4" w:rsidRDefault="007629C4" w:rsidP="007629C4">
      <w:pPr>
        <w:jc w:val="both"/>
        <w:rPr>
          <w:rFonts w:cs="Arial"/>
        </w:rPr>
      </w:pPr>
      <w:r>
        <w:rPr>
          <w:rFonts w:cs="Arial"/>
        </w:rPr>
        <w:t xml:space="preserve">Tel: </w:t>
      </w:r>
      <w:r>
        <w:rPr>
          <w:rFonts w:cs="Arial"/>
        </w:rPr>
        <w:tab/>
        <w:t>01274 432678</w:t>
      </w:r>
    </w:p>
    <w:p w:rsidR="007629C4" w:rsidRDefault="007629C4" w:rsidP="007629C4">
      <w:pPr>
        <w:jc w:val="both"/>
        <w:rPr>
          <w:rFonts w:cs="Arial"/>
        </w:rPr>
      </w:pPr>
      <w:r>
        <w:rPr>
          <w:rFonts w:cs="Arial"/>
        </w:rPr>
        <w:t xml:space="preserve">Fax: </w:t>
      </w:r>
      <w:r>
        <w:rPr>
          <w:rFonts w:cs="Arial"/>
        </w:rPr>
        <w:tab/>
        <w:t>01274 435054</w:t>
      </w:r>
    </w:p>
    <w:p w:rsidR="007629C4" w:rsidRDefault="007629C4" w:rsidP="007629C4">
      <w:pPr>
        <w:jc w:val="both"/>
        <w:rPr>
          <w:rFonts w:cs="Arial"/>
        </w:rPr>
      </w:pPr>
      <w:r>
        <w:rPr>
          <w:rFonts w:cs="Arial"/>
        </w:rPr>
        <w:t xml:space="preserve">Email: </w:t>
      </w:r>
      <w:r>
        <w:rPr>
          <w:rFonts w:cs="Arial"/>
        </w:rPr>
        <w:tab/>
      </w:r>
      <w:hyperlink r:id="rId18" w:history="1">
        <w:r w:rsidRPr="00B04F76">
          <w:rPr>
            <w:rStyle w:val="Hyperlink"/>
            <w:rFonts w:cs="Arial"/>
          </w:rPr>
          <w:t>andrew.redding@bradford.gov.uk</w:t>
        </w:r>
      </w:hyperlink>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complete the questionnaire by marking the appropriate boxes. There is a space below each question for you to record comments.</w:t>
      </w:r>
    </w:p>
    <w:p w:rsidR="007629C4" w:rsidRPr="00246EEE" w:rsidRDefault="007629C4" w:rsidP="007629C4">
      <w:pPr>
        <w:jc w:val="both"/>
        <w:rPr>
          <w:rFonts w:cs="Arial"/>
        </w:rPr>
      </w:pPr>
    </w:p>
    <w:p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A0DFAFC" wp14:editId="1562613A">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7629C4" w:rsidRDefault="007629C4" w:rsidP="007629C4">
      <w:pPr>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Question 1 – Do you agree with the new Banded Model proposed by the Local Authority as set out in Appendix 3? If not, please can you explain why not.</w:t>
      </w: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7A38B313" wp14:editId="6C3AEB44">
                <wp:simplePos x="0" y="0"/>
                <wp:positionH relativeFrom="column">
                  <wp:posOffset>0</wp:posOffset>
                </wp:positionH>
                <wp:positionV relativeFrom="paragraph">
                  <wp:posOffset>107315</wp:posOffset>
                </wp:positionV>
                <wp:extent cx="6400800" cy="1493520"/>
                <wp:effectExtent l="9525" t="12065" r="9525" b="88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DAM6X9LwIAAFMEAAAOAAAAAAAAAAAAAAAAAC4CAABk&#10;cnMvZTJvRG9jLnhtbFBLAQItABQABgAIAAAAIQCYirRA3QAAAAgBAAAPAAAAAAAAAAAAAAAAAIkE&#10;AABkcnMvZG93bnJldi54bWxQSwUGAAAAAAQABADzAAAAkwUAAAAA&#10;" strokecolor="blue">
                <v:textbo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v:textbox>
              </v:shape>
            </w:pict>
          </mc:Fallback>
        </mc:AlternateContent>
      </w:r>
    </w:p>
    <w:p w:rsidR="007629C4" w:rsidRPr="00DE1A1C"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597C8C" w:rsidRDefault="007629C4" w:rsidP="007629C4">
      <w:pPr>
        <w:jc w:val="both"/>
        <w:rPr>
          <w:b/>
          <w:color w:val="0000FF"/>
          <w:sz w:val="16"/>
          <w:szCs w:val="16"/>
        </w:rPr>
      </w:pPr>
    </w:p>
    <w:p w:rsidR="000D04FA" w:rsidRPr="000D04FA" w:rsidRDefault="000D04FA" w:rsidP="000D04FA">
      <w:pPr>
        <w:jc w:val="both"/>
        <w:rPr>
          <w:b/>
          <w:color w:val="0000FF"/>
          <w:sz w:val="22"/>
          <w:szCs w:val="22"/>
        </w:rPr>
      </w:pPr>
      <w:r w:rsidRPr="000D04FA">
        <w:rPr>
          <w:b/>
          <w:color w:val="0000FF"/>
          <w:sz w:val="22"/>
          <w:szCs w:val="22"/>
        </w:rPr>
        <w:t>Question 2 – Do you agree with the transition approach to the new model that is proposed by the Local Authority? If not,</w:t>
      </w:r>
      <w:r w:rsidR="00D90E63">
        <w:rPr>
          <w:b/>
          <w:color w:val="0000FF"/>
          <w:sz w:val="22"/>
          <w:szCs w:val="22"/>
        </w:rPr>
        <w:t xml:space="preserve"> please can you explain why not.</w:t>
      </w:r>
    </w:p>
    <w:p w:rsidR="000D04FA" w:rsidRDefault="000D04FA" w:rsidP="007629C4">
      <w:pPr>
        <w:jc w:val="both"/>
        <w:rPr>
          <w:rFonts w:cs="Arial"/>
          <w:b/>
          <w:color w:val="0000FF"/>
        </w:rPr>
      </w:pPr>
    </w:p>
    <w:p w:rsidR="000D04FA" w:rsidRDefault="000D04FA" w:rsidP="000D04FA">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2576" behindDoc="0" locked="0" layoutInCell="1" allowOverlap="1" wp14:anchorId="0F2B3FCF" wp14:editId="093BA80B">
                <wp:simplePos x="0" y="0"/>
                <wp:positionH relativeFrom="column">
                  <wp:posOffset>0</wp:posOffset>
                </wp:positionH>
                <wp:positionV relativeFrom="paragraph">
                  <wp:posOffset>107315</wp:posOffset>
                </wp:positionV>
                <wp:extent cx="6400800" cy="1493520"/>
                <wp:effectExtent l="9525" t="12065" r="9525"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C64DE9" w:rsidRPr="00B102E7" w:rsidRDefault="00C64DE9" w:rsidP="000D04FA">
                            <w:pPr>
                              <w:rPr>
                                <w:color w:val="0000FF"/>
                              </w:rPr>
                            </w:pPr>
                            <w:r w:rsidRPr="00B102E7">
                              <w:rPr>
                                <w:color w:val="0000FF"/>
                              </w:rPr>
                              <w:t>If not, please provide further explanation here:</w:t>
                            </w:r>
                          </w:p>
                          <w:p w:rsidR="00C64DE9" w:rsidRDefault="00C64DE9"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8.45pt;width:7in;height:1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" strokecolor="blue">
                <v:textbox>
                  <w:txbxContent>
                    <w:p w:rsidR="00C64DE9" w:rsidRPr="00B102E7" w:rsidRDefault="00C64DE9" w:rsidP="000D04FA">
                      <w:pPr>
                        <w:rPr>
                          <w:color w:val="0000FF"/>
                        </w:rPr>
                      </w:pPr>
                      <w:r w:rsidRPr="00B102E7">
                        <w:rPr>
                          <w:color w:val="0000FF"/>
                        </w:rPr>
                        <w:t>If not, please provide further explanation here:</w:t>
                      </w:r>
                    </w:p>
                    <w:p w:rsidR="00C64DE9" w:rsidRDefault="00C64DE9" w:rsidP="000D04FA"/>
                  </w:txbxContent>
                </v:textbox>
              </v:shape>
            </w:pict>
          </mc:Fallback>
        </mc:AlternateContent>
      </w:r>
    </w:p>
    <w:p w:rsidR="000D04FA" w:rsidRPr="00DE1A1C"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Pr="000D04FA" w:rsidRDefault="000D04FA" w:rsidP="007629C4">
      <w:pPr>
        <w:jc w:val="both"/>
        <w:rPr>
          <w:b/>
          <w:color w:val="0000FF"/>
          <w:sz w:val="22"/>
          <w:szCs w:val="22"/>
        </w:rPr>
      </w:pPr>
      <w:r w:rsidRPr="000D04FA">
        <w:rPr>
          <w:b/>
          <w:color w:val="0000FF"/>
          <w:sz w:val="22"/>
          <w:szCs w:val="22"/>
        </w:rPr>
        <w:t xml:space="preserve">Question 3 – Do you have any comments (including technical comments) on the proposed new Banded Model you would like the Authority to consider? </w:t>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0288" behindDoc="0" locked="0" layoutInCell="1" allowOverlap="1" wp14:anchorId="2B608A36" wp14:editId="31A312DC">
                <wp:simplePos x="0" y="0"/>
                <wp:positionH relativeFrom="column">
                  <wp:posOffset>2540</wp:posOffset>
                </wp:positionH>
                <wp:positionV relativeFrom="paragraph">
                  <wp:posOffset>112394</wp:posOffset>
                </wp:positionV>
                <wp:extent cx="6400800" cy="2657475"/>
                <wp:effectExtent l="0" t="0" r="19050"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57475"/>
                        </a:xfrm>
                        <a:prstGeom prst="rect">
                          <a:avLst/>
                        </a:prstGeom>
                        <a:solidFill>
                          <a:srgbClr val="FFFFFF"/>
                        </a:solidFill>
                        <a:ln w="9525">
                          <a:solidFill>
                            <a:srgbClr val="0000FF"/>
                          </a:solidFill>
                          <a:miter lim="800000"/>
                          <a:headEnd/>
                          <a:tailEnd/>
                        </a:ln>
                      </wps:spPr>
                      <wps:txbx>
                        <w:txbxContent>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pt;margin-top:8.85pt;width:7in;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A/MAIAAFk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" strokecolor="blue">
                <v:textbox>
                  <w:txbxContent>
                    <w:p w:rsidR="00C64DE9" w:rsidRDefault="00C64DE9"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i/>
          <w:color w:val="0000FF"/>
          <w:sz w:val="22"/>
          <w:szCs w:val="22"/>
        </w:rPr>
      </w:pP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p>
    <w:p w:rsidR="000D04FA" w:rsidRDefault="000D04FA" w:rsidP="007629C4">
      <w:pPr>
        <w:pStyle w:val="ListParagraph"/>
        <w:ind w:left="0"/>
        <w:jc w:val="both"/>
        <w:rPr>
          <w:b/>
          <w:color w:val="0000FF"/>
          <w:sz w:val="22"/>
          <w:szCs w:val="22"/>
        </w:rPr>
      </w:pPr>
    </w:p>
    <w:p w:rsidR="006E05EB" w:rsidRDefault="006E05EB" w:rsidP="007629C4">
      <w:pPr>
        <w:pStyle w:val="ListParagraph"/>
        <w:ind w:left="0"/>
        <w:jc w:val="both"/>
        <w:rPr>
          <w:b/>
          <w:color w:val="0000FF"/>
          <w:sz w:val="22"/>
          <w:szCs w:val="22"/>
        </w:rPr>
      </w:pPr>
    </w:p>
    <w:p w:rsidR="006E05EB" w:rsidRDefault="006E05EB" w:rsidP="007629C4">
      <w:pPr>
        <w:pStyle w:val="ListParagraph"/>
        <w:ind w:left="0"/>
        <w:jc w:val="both"/>
        <w:rPr>
          <w:b/>
          <w:color w:val="0000FF"/>
          <w:sz w:val="22"/>
          <w:szCs w:val="22"/>
        </w:rPr>
      </w:pPr>
    </w:p>
    <w:p w:rsidR="006E05EB" w:rsidRDefault="006E05EB" w:rsidP="007629C4">
      <w:pPr>
        <w:pStyle w:val="ListParagraph"/>
        <w:ind w:left="0"/>
        <w:jc w:val="both"/>
        <w:rPr>
          <w:b/>
          <w:color w:val="0000FF"/>
          <w:sz w:val="22"/>
          <w:szCs w:val="22"/>
        </w:rPr>
      </w:pPr>
    </w:p>
    <w:p w:rsidR="006E05EB" w:rsidRDefault="006E05EB" w:rsidP="007629C4">
      <w:pPr>
        <w:pStyle w:val="ListParagraph"/>
        <w:ind w:left="0"/>
        <w:jc w:val="both"/>
        <w:rPr>
          <w:b/>
          <w:color w:val="0000FF"/>
          <w:sz w:val="22"/>
          <w:szCs w:val="22"/>
        </w:rPr>
      </w:pPr>
    </w:p>
    <w:p w:rsidR="006E05EB" w:rsidRDefault="006E05EB" w:rsidP="007629C4">
      <w:pPr>
        <w:pStyle w:val="ListParagraph"/>
        <w:ind w:left="0"/>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Question 4 – Do you agree with the amendments to the setting-led need factors that are proposed in paragraph 7.5?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8174236" wp14:editId="0F53E59D">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CgMgIAAFgEAAAOAAAAZHJzL2Uyb0RvYy54bWysVNuO2yAQfa/Uf0C8N3bSJJtYcVbbbFNV&#10;2l6k3X4AxjhGBYYCiZ1+fQeczV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" strokecolor="blue">
                <v:textbo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 xml:space="preserve">Question 5 – Do you have any comments (including technical comments) on the setting-led need factors you would like the Authority to consider? </w:t>
      </w: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4624" behindDoc="0" locked="0" layoutInCell="1" allowOverlap="1" wp14:anchorId="0F990E25" wp14:editId="7DC05956">
                <wp:simplePos x="0" y="0"/>
                <wp:positionH relativeFrom="column">
                  <wp:posOffset>2540</wp:posOffset>
                </wp:positionH>
                <wp:positionV relativeFrom="paragraph">
                  <wp:posOffset>105409</wp:posOffset>
                </wp:positionV>
                <wp:extent cx="6400800" cy="26384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38425"/>
                        </a:xfrm>
                        <a:prstGeom prst="rect">
                          <a:avLst/>
                        </a:prstGeom>
                        <a:solidFill>
                          <a:srgbClr val="FFFFFF"/>
                        </a:solidFill>
                        <a:ln w="9525">
                          <a:solidFill>
                            <a:srgbClr val="0000FF"/>
                          </a:solidFill>
                          <a:miter lim="800000"/>
                          <a:headEnd/>
                          <a:tailEnd/>
                        </a:ln>
                      </wps:spPr>
                      <wps:txbx>
                        <w:txbxContent>
                          <w:p w:rsidR="00C64DE9" w:rsidRDefault="00C64DE9"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pt;margin-top:8.3pt;width:7in;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LgIAAFg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" strokecolor="blue">
                <v:textbox>
                  <w:txbxContent>
                    <w:p w:rsidR="00C64DE9" w:rsidRDefault="00C64DE9" w:rsidP="000D04FA"/>
                  </w:txbxContent>
                </v:textbox>
              </v:shape>
            </w:pict>
          </mc:Fallback>
        </mc:AlternateContent>
      </w: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i/>
          <w:color w:val="0000FF"/>
          <w:sz w:val="22"/>
          <w:szCs w:val="22"/>
        </w:rPr>
      </w:pPr>
    </w:p>
    <w:p w:rsidR="000D04FA" w:rsidRDefault="000D04FA" w:rsidP="000D04FA">
      <w:pPr>
        <w:pStyle w:val="ListParagraph"/>
        <w:ind w:left="0"/>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Question 6 – Do you agree with the Day Rate mechanism that the Authority proposes to use to fund the PRUs from 1 April 2020?</w:t>
      </w:r>
      <w:r w:rsidR="00D90E63">
        <w:rPr>
          <w:b/>
          <w:color w:val="0000FF"/>
          <w:sz w:val="22"/>
          <w:szCs w:val="22"/>
        </w:rPr>
        <w:t xml:space="preserve">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r>
    </w:p>
    <w:p w:rsidR="007629C4" w:rsidRDefault="000D04FA" w:rsidP="006E05EB">
      <w:pPr>
        <w:pStyle w:val="ListParagraph"/>
        <w:ind w:left="0"/>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3405D6BD" wp14:editId="5F0BCF73">
                <wp:simplePos x="0" y="0"/>
                <wp:positionH relativeFrom="column">
                  <wp:posOffset>2540</wp:posOffset>
                </wp:positionH>
                <wp:positionV relativeFrom="paragraph">
                  <wp:posOffset>60325</wp:posOffset>
                </wp:positionV>
                <wp:extent cx="6400800" cy="146685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66850"/>
                        </a:xfrm>
                        <a:prstGeom prst="rect">
                          <a:avLst/>
                        </a:prstGeom>
                        <a:solidFill>
                          <a:srgbClr val="FFFFFF"/>
                        </a:solidFill>
                        <a:ln w="9525">
                          <a:solidFill>
                            <a:srgbClr val="0000FF"/>
                          </a:solidFill>
                          <a:miter lim="800000"/>
                          <a:headEnd/>
                          <a:tailEnd/>
                        </a:ln>
                      </wps:spPr>
                      <wps:txb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pt;margin-top:4.75pt;width:7in;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eDMA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" strokecolor="blue">
                <v:textbo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v:textbox>
              </v:shape>
            </w:pict>
          </mc:Fallback>
        </mc:AlternateContent>
      </w: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 xml:space="preserve">Question 7 – Do you have any comments (including technical comments) on the proposed Day-Rate mechanism you would like the Authority to consider? </w:t>
      </w:r>
    </w:p>
    <w:p w:rsidR="007629C4" w:rsidRDefault="000D04FA"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6672" behindDoc="0" locked="0" layoutInCell="1" allowOverlap="1" wp14:anchorId="41DE65A3" wp14:editId="0BEDE8EC">
                <wp:simplePos x="0" y="0"/>
                <wp:positionH relativeFrom="column">
                  <wp:posOffset>2540</wp:posOffset>
                </wp:positionH>
                <wp:positionV relativeFrom="paragraph">
                  <wp:posOffset>109855</wp:posOffset>
                </wp:positionV>
                <wp:extent cx="6400800" cy="18097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C64DE9" w:rsidRDefault="00C64DE9"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pt;margin-top:8.65pt;width:7in;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okMQ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" strokecolor="blue">
                <v:textbox>
                  <w:txbxContent>
                    <w:p w:rsidR="00C64DE9" w:rsidRDefault="00C64DE9" w:rsidP="000D04FA"/>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Pr="000D04FA" w:rsidRDefault="000D04FA" w:rsidP="000D04FA">
      <w:pPr>
        <w:jc w:val="both"/>
        <w:rPr>
          <w:b/>
          <w:color w:val="0000FF"/>
          <w:sz w:val="22"/>
          <w:szCs w:val="22"/>
        </w:rPr>
      </w:pPr>
      <w:r w:rsidRPr="000D04FA">
        <w:rPr>
          <w:b/>
          <w:color w:val="0000FF"/>
          <w:sz w:val="22"/>
          <w:szCs w:val="22"/>
        </w:rPr>
        <w:t>Question 8 – Do you agree with the amendments to the approach to the sharing of the cost of specialist equipment that are proposed? If not, please can you explain why not.</w:t>
      </w:r>
    </w:p>
    <w:p w:rsidR="007629C4" w:rsidRDefault="007629C4" w:rsidP="007629C4">
      <w:pPr>
        <w:jc w:val="both"/>
        <w:rPr>
          <w:b/>
          <w:i/>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67A8E">
        <w:rPr>
          <w:rFonts w:cs="Arial"/>
          <w:b/>
          <w:color w:val="0000FF"/>
        </w:rPr>
      </w:r>
      <w:r w:rsidR="00D67A8E">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209C8344" wp14:editId="2F648944">
                <wp:simplePos x="0" y="0"/>
                <wp:positionH relativeFrom="column">
                  <wp:posOffset>2540</wp:posOffset>
                </wp:positionH>
                <wp:positionV relativeFrom="paragraph">
                  <wp:posOffset>-3175</wp:posOffset>
                </wp:positionV>
                <wp:extent cx="6400800" cy="17240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24025"/>
                        </a:xfrm>
                        <a:prstGeom prst="rect">
                          <a:avLst/>
                        </a:prstGeom>
                        <a:solidFill>
                          <a:srgbClr val="FFFFFF"/>
                        </a:solidFill>
                        <a:ln w="9525">
                          <a:solidFill>
                            <a:srgbClr val="0000FF"/>
                          </a:solidFill>
                          <a:miter lim="800000"/>
                          <a:headEnd/>
                          <a:tailEnd/>
                        </a:ln>
                      </wps:spPr>
                      <wps:txb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pt;margin-top:-.25pt;width:7in;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" strokecolor="blue">
                <v:textbox>
                  <w:txbxContent>
                    <w:p w:rsidR="00C64DE9" w:rsidRPr="00B102E7" w:rsidRDefault="00C64DE9" w:rsidP="007629C4">
                      <w:pPr>
                        <w:rPr>
                          <w:color w:val="0000FF"/>
                        </w:rPr>
                      </w:pPr>
                      <w:r w:rsidRPr="00B102E7">
                        <w:rPr>
                          <w:color w:val="0000FF"/>
                        </w:rPr>
                        <w:t>If not, please provide further explanation here:</w:t>
                      </w:r>
                    </w:p>
                    <w:p w:rsidR="00C64DE9" w:rsidRDefault="00C64DE9"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804553" w:rsidRDefault="00804553" w:rsidP="007629C4">
      <w:pPr>
        <w:jc w:val="both"/>
        <w:rPr>
          <w:b/>
          <w:color w:val="0000FF"/>
          <w:sz w:val="22"/>
          <w:szCs w:val="22"/>
        </w:rPr>
      </w:pPr>
    </w:p>
    <w:p w:rsidR="000D04FA" w:rsidRPr="000D04FA" w:rsidRDefault="000D04FA" w:rsidP="007629C4">
      <w:pPr>
        <w:jc w:val="both"/>
        <w:rPr>
          <w:b/>
          <w:color w:val="0000FF"/>
          <w:sz w:val="22"/>
          <w:szCs w:val="22"/>
        </w:rPr>
      </w:pPr>
      <w:r w:rsidRPr="000D04FA">
        <w:rPr>
          <w:b/>
          <w:color w:val="0000FF"/>
          <w:sz w:val="22"/>
          <w:szCs w:val="22"/>
        </w:rPr>
        <w:t xml:space="preserve">Question 9 – Do you have any comments (including technical comments) on the proposed approach to the sharing of the cost of specialist equipment you would like the Authority to consider? </w:t>
      </w:r>
    </w:p>
    <w:p w:rsidR="007629C4" w:rsidRDefault="00804553" w:rsidP="007629C4">
      <w:pPr>
        <w:jc w:val="both"/>
        <w:rPr>
          <w:rFonts w:cs="Arial"/>
          <w:b/>
          <w:color w:val="0000FF"/>
        </w:rPr>
      </w:pPr>
      <w:r>
        <w:rPr>
          <w:rFonts w:cs="Arial"/>
          <w:b/>
          <w:noProof/>
          <w:color w:val="0000FF"/>
        </w:rPr>
        <mc:AlternateContent>
          <mc:Choice Requires="wps">
            <w:drawing>
              <wp:anchor distT="0" distB="0" distL="114300" distR="114300" simplePos="0" relativeHeight="251665408" behindDoc="0" locked="0" layoutInCell="1" allowOverlap="1" wp14:anchorId="41F93242" wp14:editId="1009D8AF">
                <wp:simplePos x="0" y="0"/>
                <wp:positionH relativeFrom="column">
                  <wp:posOffset>2540</wp:posOffset>
                </wp:positionH>
                <wp:positionV relativeFrom="paragraph">
                  <wp:posOffset>81915</wp:posOffset>
                </wp:positionV>
                <wp:extent cx="6400800" cy="17526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52600"/>
                        </a:xfrm>
                        <a:prstGeom prst="rect">
                          <a:avLst/>
                        </a:prstGeom>
                        <a:solidFill>
                          <a:srgbClr val="FFFFFF"/>
                        </a:solidFill>
                        <a:ln w="9525">
                          <a:solidFill>
                            <a:srgbClr val="0000FF"/>
                          </a:solidFill>
                          <a:miter lim="800000"/>
                          <a:headEnd/>
                          <a:tailEnd/>
                        </a:ln>
                      </wps:spPr>
                      <wps:txbx>
                        <w:txbxContent>
                          <w:p w:rsidR="00C64DE9" w:rsidRDefault="00C64DE9"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pt;margin-top:6.45pt;width:7in;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zBLg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" strokecolor="blue">
                <v:textbox>
                  <w:txbxContent>
                    <w:p w:rsidR="00C64DE9" w:rsidRDefault="00C64DE9" w:rsidP="007629C4"/>
                  </w:txbxContent>
                </v:textbox>
              </v:shape>
            </w:pict>
          </mc:Fallback>
        </mc:AlternateContent>
      </w:r>
      <w:r w:rsidR="007629C4">
        <w:rPr>
          <w:rFonts w:cs="Arial"/>
          <w:b/>
          <w:color w:val="0000FF"/>
        </w:rPr>
        <w:tab/>
      </w:r>
      <w:r w:rsidR="007629C4">
        <w:rPr>
          <w:rFonts w:cs="Arial"/>
          <w:b/>
          <w:color w:val="0000FF"/>
        </w:rPr>
        <w:tab/>
      </w:r>
      <w:r w:rsidR="007629C4">
        <w:rPr>
          <w:rFonts w:cs="Arial"/>
          <w:b/>
          <w:color w:val="0000FF"/>
        </w:rPr>
        <w:tab/>
      </w:r>
      <w:r w:rsidR="007629C4">
        <w:rPr>
          <w:rFonts w:cs="Arial"/>
          <w:b/>
          <w:color w:val="0000FF"/>
        </w:rPr>
        <w:tab/>
      </w:r>
      <w:r w:rsidR="007629C4">
        <w:rPr>
          <w:rFonts w:cs="Arial"/>
          <w:b/>
          <w:color w:val="0000FF"/>
        </w:rPr>
        <w:tab/>
      </w:r>
      <w:r w:rsidR="007629C4">
        <w:rPr>
          <w:rFonts w:cs="Arial"/>
          <w:b/>
          <w:color w:val="0000FF"/>
        </w:rPr>
        <w:tab/>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804553" w:rsidP="007629C4">
      <w:pPr>
        <w:jc w:val="both"/>
        <w:rPr>
          <w:b/>
          <w:color w:val="0000FF"/>
          <w:sz w:val="22"/>
          <w:szCs w:val="22"/>
        </w:rPr>
      </w:pPr>
      <w:r>
        <w:rPr>
          <w:b/>
          <w:color w:val="0000FF"/>
          <w:sz w:val="22"/>
          <w:szCs w:val="22"/>
        </w:rPr>
        <w:t>Question 10</w:t>
      </w:r>
      <w:r w:rsidR="007629C4">
        <w:rPr>
          <w:b/>
          <w:color w:val="0000FF"/>
          <w:sz w:val="22"/>
          <w:szCs w:val="22"/>
        </w:rPr>
        <w:t>: Are there any changes that you would wish to see m</w:t>
      </w:r>
      <w:r>
        <w:rPr>
          <w:b/>
          <w:color w:val="0000FF"/>
          <w:sz w:val="22"/>
          <w:szCs w:val="22"/>
        </w:rPr>
        <w:t>ade to the funding model in 2020/21</w:t>
      </w:r>
      <w:r w:rsidR="007629C4">
        <w:rPr>
          <w:b/>
          <w:color w:val="0000FF"/>
          <w:sz w:val="22"/>
          <w:szCs w:val="22"/>
        </w:rPr>
        <w:t>? Please give details.</w:t>
      </w:r>
    </w:p>
    <w:p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53B477B9" wp14:editId="4D61CE58">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Pr="00B102E7" w:rsidRDefault="00C64DE9"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PfLg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" strokecolor="blue">
                <v:textbox>
                  <w:txbxContent>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Pr="00B102E7" w:rsidRDefault="00C64DE9" w:rsidP="007629C4">
                      <w:pPr>
                        <w:rPr>
                          <w:color w:val="0000FF"/>
                        </w:rPr>
                      </w:pPr>
                    </w:p>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655BA5" w:rsidRDefault="00804553" w:rsidP="007629C4">
      <w:pPr>
        <w:jc w:val="both"/>
        <w:rPr>
          <w:b/>
          <w:color w:val="0000FF"/>
          <w:sz w:val="22"/>
          <w:szCs w:val="22"/>
        </w:rPr>
      </w:pPr>
      <w:r>
        <w:rPr>
          <w:b/>
          <w:color w:val="0000FF"/>
          <w:sz w:val="22"/>
          <w:szCs w:val="22"/>
        </w:rPr>
        <w:t>Question 11</w:t>
      </w:r>
      <w:r w:rsidR="007629C4">
        <w:rPr>
          <w:b/>
          <w:color w:val="0000FF"/>
          <w:sz w:val="22"/>
          <w:szCs w:val="22"/>
        </w:rPr>
        <w:t xml:space="preserve"> – Do you have any other comments on the funding model or the proposals that you have not recorded elsewhere?</w:t>
      </w:r>
    </w:p>
    <w:p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3C35F384" wp14:editId="7CCBD7DB">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Pr="00B102E7" w:rsidRDefault="00C64DE9"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NLQIAAFk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" strokecolor="blue">
                <v:textbox>
                  <w:txbxContent>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Default="00C64DE9" w:rsidP="007629C4">
                      <w:pPr>
                        <w:rPr>
                          <w:color w:val="0000FF"/>
                        </w:rPr>
                      </w:pPr>
                    </w:p>
                    <w:p w:rsidR="00C64DE9" w:rsidRPr="00B102E7" w:rsidRDefault="00C64DE9" w:rsidP="007629C4">
                      <w:pPr>
                        <w:rPr>
                          <w:color w:val="0000FF"/>
                        </w:rPr>
                      </w:pPr>
                    </w:p>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rPr>
          <w:sz w:val="22"/>
          <w:szCs w:val="22"/>
        </w:rPr>
      </w:pPr>
    </w:p>
    <w:p w:rsidR="007629C4" w:rsidRDefault="007629C4" w:rsidP="007629C4">
      <w:pPr>
        <w:jc w:val="both"/>
        <w:rPr>
          <w:b/>
          <w:color w:val="0000FF"/>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0D04FA" w:rsidRDefault="000D04FA" w:rsidP="001B416B">
      <w:pPr>
        <w:jc w:val="both"/>
        <w:rPr>
          <w:sz w:val="22"/>
          <w:szCs w:val="22"/>
        </w:rPr>
      </w:pPr>
    </w:p>
    <w:p w:rsidR="000D04FA" w:rsidRDefault="000D04FA" w:rsidP="001B416B">
      <w:pPr>
        <w:jc w:val="both"/>
        <w:rPr>
          <w:sz w:val="22"/>
          <w:szCs w:val="22"/>
        </w:rPr>
      </w:pPr>
    </w:p>
    <w:p w:rsidR="000D04FA" w:rsidRPr="000D04FA" w:rsidRDefault="000D04FA" w:rsidP="001B416B">
      <w:pPr>
        <w:jc w:val="both"/>
        <w:rPr>
          <w:b/>
          <w:color w:val="0000FF"/>
          <w:sz w:val="22"/>
          <w:szCs w:val="22"/>
        </w:rPr>
      </w:pPr>
    </w:p>
    <w:p w:rsidR="000D04FA" w:rsidRPr="000D04FA" w:rsidRDefault="000D04FA" w:rsidP="000D04FA">
      <w:pPr>
        <w:jc w:val="both"/>
        <w:rPr>
          <w:b/>
          <w:color w:val="0000FF"/>
          <w:sz w:val="22"/>
          <w:szCs w:val="22"/>
        </w:rPr>
      </w:pPr>
    </w:p>
    <w:p w:rsidR="000D04FA" w:rsidRPr="000D04FA" w:rsidRDefault="000D04FA" w:rsidP="001B416B">
      <w:pPr>
        <w:jc w:val="both"/>
        <w:rPr>
          <w:b/>
          <w:color w:val="0000FF"/>
          <w:sz w:val="22"/>
          <w:szCs w:val="22"/>
        </w:rPr>
      </w:pPr>
    </w:p>
    <w:p w:rsidR="001F06CE" w:rsidRDefault="001F06CE" w:rsidP="001B416B">
      <w:pPr>
        <w:jc w:val="both"/>
        <w:rPr>
          <w:sz w:val="22"/>
          <w:szCs w:val="22"/>
        </w:rPr>
      </w:pPr>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E9" w:rsidRDefault="00C64DE9">
      <w:r>
        <w:separator/>
      </w:r>
    </w:p>
  </w:endnote>
  <w:endnote w:type="continuationSeparator" w:id="0">
    <w:p w:rsidR="00C64DE9" w:rsidRDefault="00C6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9" w:rsidRDefault="00C64DE9"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DE9" w:rsidRDefault="00C64DE9" w:rsidP="005A33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E9" w:rsidRDefault="00C64DE9"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A8E">
      <w:rPr>
        <w:rStyle w:val="PageNumber"/>
        <w:noProof/>
      </w:rPr>
      <w:t>32</w:t>
    </w:r>
    <w:r>
      <w:rPr>
        <w:rStyle w:val="PageNumber"/>
      </w:rPr>
      <w:fldChar w:fldCharType="end"/>
    </w:r>
  </w:p>
  <w:p w:rsidR="00C64DE9" w:rsidRDefault="00C64DE9" w:rsidP="005A33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576587"/>
      <w:docPartObj>
        <w:docPartGallery w:val="Page Numbers (Bottom of Page)"/>
        <w:docPartUnique/>
      </w:docPartObj>
    </w:sdtPr>
    <w:sdtEndPr>
      <w:rPr>
        <w:noProof/>
      </w:rPr>
    </w:sdtEndPr>
    <w:sdtContent>
      <w:p w:rsidR="00C64DE9" w:rsidRDefault="00C64DE9">
        <w:pPr>
          <w:pStyle w:val="Footer"/>
          <w:jc w:val="right"/>
        </w:pPr>
        <w:r>
          <w:fldChar w:fldCharType="begin"/>
        </w:r>
        <w:r>
          <w:instrText xml:space="preserve"> PAGE   \* MERGEFORMAT </w:instrText>
        </w:r>
        <w:r>
          <w:fldChar w:fldCharType="separate"/>
        </w:r>
        <w:r w:rsidR="00D67A8E">
          <w:rPr>
            <w:noProof/>
          </w:rPr>
          <w:t>33</w:t>
        </w:r>
        <w:r>
          <w:rPr>
            <w:noProof/>
          </w:rPr>
          <w:fldChar w:fldCharType="end"/>
        </w:r>
      </w:p>
    </w:sdtContent>
  </w:sdt>
  <w:p w:rsidR="00C64DE9" w:rsidRDefault="00C64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E9" w:rsidRDefault="00C64DE9">
      <w:r>
        <w:separator/>
      </w:r>
    </w:p>
  </w:footnote>
  <w:footnote w:type="continuationSeparator" w:id="0">
    <w:p w:rsidR="00C64DE9" w:rsidRDefault="00C6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359"/>
    <w:multiLevelType w:val="multilevel"/>
    <w:tmpl w:val="7E308B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3F5EA8"/>
    <w:multiLevelType w:val="hybridMultilevel"/>
    <w:tmpl w:val="2BCC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066BC"/>
    <w:multiLevelType w:val="multilevel"/>
    <w:tmpl w:val="2AFC89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76A0E"/>
    <w:multiLevelType w:val="hybridMultilevel"/>
    <w:tmpl w:val="D4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F5C24"/>
    <w:multiLevelType w:val="hybridMultilevel"/>
    <w:tmpl w:val="2C8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64502"/>
    <w:multiLevelType w:val="hybridMultilevel"/>
    <w:tmpl w:val="2BF23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A19F8"/>
    <w:multiLevelType w:val="hybridMultilevel"/>
    <w:tmpl w:val="F2568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D048BD"/>
    <w:multiLevelType w:val="hybridMultilevel"/>
    <w:tmpl w:val="8E84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432016"/>
    <w:multiLevelType w:val="multilevel"/>
    <w:tmpl w:val="375AE6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A7C35"/>
    <w:multiLevelType w:val="multilevel"/>
    <w:tmpl w:val="B1547E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8B0DA2"/>
    <w:multiLevelType w:val="multilevel"/>
    <w:tmpl w:val="7E308B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EB417D"/>
    <w:multiLevelType w:val="hybridMultilevel"/>
    <w:tmpl w:val="1D36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A5F46"/>
    <w:multiLevelType w:val="multilevel"/>
    <w:tmpl w:val="7BB8B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6F67DE"/>
    <w:multiLevelType w:val="hybridMultilevel"/>
    <w:tmpl w:val="6310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F22C8"/>
    <w:multiLevelType w:val="hybridMultilevel"/>
    <w:tmpl w:val="24B0C9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4F343B"/>
    <w:multiLevelType w:val="hybridMultilevel"/>
    <w:tmpl w:val="5EDE0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3522F"/>
    <w:multiLevelType w:val="hybridMultilevel"/>
    <w:tmpl w:val="4DE01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352795"/>
    <w:multiLevelType w:val="hybridMultilevel"/>
    <w:tmpl w:val="511CF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3841E0"/>
    <w:multiLevelType w:val="multilevel"/>
    <w:tmpl w:val="7E308B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0D431B"/>
    <w:multiLevelType w:val="hybridMultilevel"/>
    <w:tmpl w:val="47FA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2095F"/>
    <w:multiLevelType w:val="multilevel"/>
    <w:tmpl w:val="68EC94A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8967F2"/>
    <w:multiLevelType w:val="hybridMultilevel"/>
    <w:tmpl w:val="F8F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A656F"/>
    <w:multiLevelType w:val="hybridMultilevel"/>
    <w:tmpl w:val="9B0CC0A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641EA2"/>
    <w:multiLevelType w:val="multilevel"/>
    <w:tmpl w:val="C4128036"/>
    <w:lvl w:ilvl="0">
      <w:start w:val="1"/>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8">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5B85F64"/>
    <w:multiLevelType w:val="hybridMultilevel"/>
    <w:tmpl w:val="B66030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A55CD7"/>
    <w:multiLevelType w:val="hybridMultilevel"/>
    <w:tmpl w:val="FD00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C354D9"/>
    <w:multiLevelType w:val="hybridMultilevel"/>
    <w:tmpl w:val="C2CA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6"/>
  </w:num>
  <w:num w:numId="4">
    <w:abstractNumId w:val="16"/>
  </w:num>
  <w:num w:numId="5">
    <w:abstractNumId w:val="5"/>
  </w:num>
  <w:num w:numId="6">
    <w:abstractNumId w:val="19"/>
  </w:num>
  <w:num w:numId="7">
    <w:abstractNumId w:val="30"/>
  </w:num>
  <w:num w:numId="8">
    <w:abstractNumId w:val="7"/>
  </w:num>
  <w:num w:numId="9">
    <w:abstractNumId w:val="4"/>
  </w:num>
  <w:num w:numId="10">
    <w:abstractNumId w:val="21"/>
  </w:num>
  <w:num w:numId="11">
    <w:abstractNumId w:val="15"/>
  </w:num>
  <w:num w:numId="12">
    <w:abstractNumId w:val="13"/>
  </w:num>
  <w:num w:numId="13">
    <w:abstractNumId w:val="1"/>
  </w:num>
  <w:num w:numId="14">
    <w:abstractNumId w:val="23"/>
  </w:num>
  <w:num w:numId="15">
    <w:abstractNumId w:val="25"/>
  </w:num>
  <w:num w:numId="16">
    <w:abstractNumId w:val="31"/>
  </w:num>
  <w:num w:numId="17">
    <w:abstractNumId w:val="17"/>
  </w:num>
  <w:num w:numId="18">
    <w:abstractNumId w:val="18"/>
  </w:num>
  <w:num w:numId="19">
    <w:abstractNumId w:val="27"/>
  </w:num>
  <w:num w:numId="20">
    <w:abstractNumId w:val="2"/>
  </w:num>
  <w:num w:numId="21">
    <w:abstractNumId w:val="24"/>
  </w:num>
  <w:num w:numId="22">
    <w:abstractNumId w:val="11"/>
  </w:num>
  <w:num w:numId="23">
    <w:abstractNumId w:val="10"/>
  </w:num>
  <w:num w:numId="24">
    <w:abstractNumId w:val="14"/>
  </w:num>
  <w:num w:numId="25">
    <w:abstractNumId w:val="20"/>
  </w:num>
  <w:num w:numId="26">
    <w:abstractNumId w:val="12"/>
  </w:num>
  <w:num w:numId="27">
    <w:abstractNumId w:val="0"/>
  </w:num>
  <w:num w:numId="28">
    <w:abstractNumId w:val="6"/>
  </w:num>
  <w:num w:numId="29">
    <w:abstractNumId w:val="8"/>
  </w:num>
  <w:num w:numId="30">
    <w:abstractNumId w:val="22"/>
  </w:num>
  <w:num w:numId="31">
    <w:abstractNumId w:val="32"/>
  </w:num>
  <w:num w:numId="32">
    <w:abstractNumId w:val="29"/>
  </w:num>
  <w:num w:numId="3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8C1"/>
    <w:rsid w:val="00001C2A"/>
    <w:rsid w:val="0000290F"/>
    <w:rsid w:val="00002F3C"/>
    <w:rsid w:val="00003041"/>
    <w:rsid w:val="000034E3"/>
    <w:rsid w:val="00003966"/>
    <w:rsid w:val="000039A4"/>
    <w:rsid w:val="00003B29"/>
    <w:rsid w:val="00003FDF"/>
    <w:rsid w:val="0000438D"/>
    <w:rsid w:val="000043B2"/>
    <w:rsid w:val="00004734"/>
    <w:rsid w:val="00004A12"/>
    <w:rsid w:val="0000585C"/>
    <w:rsid w:val="00005E46"/>
    <w:rsid w:val="00006697"/>
    <w:rsid w:val="000071B1"/>
    <w:rsid w:val="000075C2"/>
    <w:rsid w:val="00007F33"/>
    <w:rsid w:val="00007F6E"/>
    <w:rsid w:val="00010787"/>
    <w:rsid w:val="00010E0E"/>
    <w:rsid w:val="000122AD"/>
    <w:rsid w:val="000124CD"/>
    <w:rsid w:val="0001320E"/>
    <w:rsid w:val="00013467"/>
    <w:rsid w:val="00013EBA"/>
    <w:rsid w:val="00014071"/>
    <w:rsid w:val="0001529A"/>
    <w:rsid w:val="000158E1"/>
    <w:rsid w:val="00015B45"/>
    <w:rsid w:val="00015E47"/>
    <w:rsid w:val="00016341"/>
    <w:rsid w:val="00016829"/>
    <w:rsid w:val="000169B3"/>
    <w:rsid w:val="00016B43"/>
    <w:rsid w:val="00016D5C"/>
    <w:rsid w:val="00017073"/>
    <w:rsid w:val="00017315"/>
    <w:rsid w:val="0001776B"/>
    <w:rsid w:val="00017CE4"/>
    <w:rsid w:val="000201D9"/>
    <w:rsid w:val="00020420"/>
    <w:rsid w:val="00020421"/>
    <w:rsid w:val="00020933"/>
    <w:rsid w:val="00022504"/>
    <w:rsid w:val="0002315A"/>
    <w:rsid w:val="000231A3"/>
    <w:rsid w:val="000232CB"/>
    <w:rsid w:val="000233D9"/>
    <w:rsid w:val="00023740"/>
    <w:rsid w:val="00023FB6"/>
    <w:rsid w:val="00024581"/>
    <w:rsid w:val="00024596"/>
    <w:rsid w:val="000248F0"/>
    <w:rsid w:val="0002509E"/>
    <w:rsid w:val="00027604"/>
    <w:rsid w:val="00027825"/>
    <w:rsid w:val="00027DBC"/>
    <w:rsid w:val="000303CF"/>
    <w:rsid w:val="00030497"/>
    <w:rsid w:val="0003079A"/>
    <w:rsid w:val="0003085F"/>
    <w:rsid w:val="00030FF0"/>
    <w:rsid w:val="00031825"/>
    <w:rsid w:val="0003210B"/>
    <w:rsid w:val="000328A4"/>
    <w:rsid w:val="0003399C"/>
    <w:rsid w:val="00033E97"/>
    <w:rsid w:val="000349E8"/>
    <w:rsid w:val="00034A13"/>
    <w:rsid w:val="00034F71"/>
    <w:rsid w:val="0003530E"/>
    <w:rsid w:val="0003652D"/>
    <w:rsid w:val="000366E5"/>
    <w:rsid w:val="000370CF"/>
    <w:rsid w:val="00037602"/>
    <w:rsid w:val="00040139"/>
    <w:rsid w:val="00040651"/>
    <w:rsid w:val="0004094D"/>
    <w:rsid w:val="00040B45"/>
    <w:rsid w:val="00041F0B"/>
    <w:rsid w:val="00042922"/>
    <w:rsid w:val="00042E9A"/>
    <w:rsid w:val="00044A9D"/>
    <w:rsid w:val="0004562B"/>
    <w:rsid w:val="00045F67"/>
    <w:rsid w:val="000501E1"/>
    <w:rsid w:val="00050C0E"/>
    <w:rsid w:val="00050CF8"/>
    <w:rsid w:val="00050D4D"/>
    <w:rsid w:val="00052A4A"/>
    <w:rsid w:val="00053930"/>
    <w:rsid w:val="000543BB"/>
    <w:rsid w:val="0005478B"/>
    <w:rsid w:val="000548E4"/>
    <w:rsid w:val="0005574F"/>
    <w:rsid w:val="00055DD7"/>
    <w:rsid w:val="00056363"/>
    <w:rsid w:val="00056580"/>
    <w:rsid w:val="0005672B"/>
    <w:rsid w:val="0005739F"/>
    <w:rsid w:val="000611D8"/>
    <w:rsid w:val="00061587"/>
    <w:rsid w:val="00061604"/>
    <w:rsid w:val="00061EA5"/>
    <w:rsid w:val="00062611"/>
    <w:rsid w:val="00062671"/>
    <w:rsid w:val="00062D4D"/>
    <w:rsid w:val="000631E1"/>
    <w:rsid w:val="00063796"/>
    <w:rsid w:val="00063E83"/>
    <w:rsid w:val="0006518D"/>
    <w:rsid w:val="000653AD"/>
    <w:rsid w:val="00066227"/>
    <w:rsid w:val="00066237"/>
    <w:rsid w:val="0006685B"/>
    <w:rsid w:val="00066CCC"/>
    <w:rsid w:val="00070057"/>
    <w:rsid w:val="000707A8"/>
    <w:rsid w:val="00070DB3"/>
    <w:rsid w:val="00071924"/>
    <w:rsid w:val="0007235F"/>
    <w:rsid w:val="00072519"/>
    <w:rsid w:val="00072EE1"/>
    <w:rsid w:val="000738DF"/>
    <w:rsid w:val="00073CDD"/>
    <w:rsid w:val="00073DE8"/>
    <w:rsid w:val="000745CD"/>
    <w:rsid w:val="000747DD"/>
    <w:rsid w:val="00074F08"/>
    <w:rsid w:val="00076098"/>
    <w:rsid w:val="000771A4"/>
    <w:rsid w:val="0007745B"/>
    <w:rsid w:val="00080345"/>
    <w:rsid w:val="0008069D"/>
    <w:rsid w:val="000809E6"/>
    <w:rsid w:val="00080C6E"/>
    <w:rsid w:val="00080FA4"/>
    <w:rsid w:val="00081239"/>
    <w:rsid w:val="0008132D"/>
    <w:rsid w:val="00081A86"/>
    <w:rsid w:val="00081FAA"/>
    <w:rsid w:val="000832D5"/>
    <w:rsid w:val="00083560"/>
    <w:rsid w:val="00083DD1"/>
    <w:rsid w:val="00083F51"/>
    <w:rsid w:val="00084624"/>
    <w:rsid w:val="00085987"/>
    <w:rsid w:val="00085F3D"/>
    <w:rsid w:val="00086BBD"/>
    <w:rsid w:val="00090A2B"/>
    <w:rsid w:val="00091B7E"/>
    <w:rsid w:val="00092024"/>
    <w:rsid w:val="000920C6"/>
    <w:rsid w:val="000930A6"/>
    <w:rsid w:val="0009335C"/>
    <w:rsid w:val="00093C4F"/>
    <w:rsid w:val="00095F54"/>
    <w:rsid w:val="00096314"/>
    <w:rsid w:val="000968E3"/>
    <w:rsid w:val="00097D67"/>
    <w:rsid w:val="000A01CC"/>
    <w:rsid w:val="000A14A6"/>
    <w:rsid w:val="000A1518"/>
    <w:rsid w:val="000A1C51"/>
    <w:rsid w:val="000A21B7"/>
    <w:rsid w:val="000A2294"/>
    <w:rsid w:val="000A2363"/>
    <w:rsid w:val="000A28E1"/>
    <w:rsid w:val="000A2957"/>
    <w:rsid w:val="000A3C3F"/>
    <w:rsid w:val="000A3DE9"/>
    <w:rsid w:val="000A44F8"/>
    <w:rsid w:val="000A492F"/>
    <w:rsid w:val="000A5E22"/>
    <w:rsid w:val="000A5EC7"/>
    <w:rsid w:val="000A662B"/>
    <w:rsid w:val="000A6674"/>
    <w:rsid w:val="000A6D86"/>
    <w:rsid w:val="000A6DBF"/>
    <w:rsid w:val="000B1608"/>
    <w:rsid w:val="000B1F80"/>
    <w:rsid w:val="000B201E"/>
    <w:rsid w:val="000B3927"/>
    <w:rsid w:val="000B3A27"/>
    <w:rsid w:val="000B4425"/>
    <w:rsid w:val="000B45EB"/>
    <w:rsid w:val="000B4B16"/>
    <w:rsid w:val="000B4C5A"/>
    <w:rsid w:val="000B4EA2"/>
    <w:rsid w:val="000B5168"/>
    <w:rsid w:val="000B5382"/>
    <w:rsid w:val="000B53A9"/>
    <w:rsid w:val="000B584C"/>
    <w:rsid w:val="000B5D1C"/>
    <w:rsid w:val="000B675F"/>
    <w:rsid w:val="000B67E3"/>
    <w:rsid w:val="000B70DE"/>
    <w:rsid w:val="000B7311"/>
    <w:rsid w:val="000B7953"/>
    <w:rsid w:val="000B7E49"/>
    <w:rsid w:val="000C0F17"/>
    <w:rsid w:val="000C1025"/>
    <w:rsid w:val="000C1D3C"/>
    <w:rsid w:val="000C28C3"/>
    <w:rsid w:val="000C28D0"/>
    <w:rsid w:val="000C2E1C"/>
    <w:rsid w:val="000C2E43"/>
    <w:rsid w:val="000C31DD"/>
    <w:rsid w:val="000C35B6"/>
    <w:rsid w:val="000C3C21"/>
    <w:rsid w:val="000C3F03"/>
    <w:rsid w:val="000C4395"/>
    <w:rsid w:val="000C43C4"/>
    <w:rsid w:val="000C55E9"/>
    <w:rsid w:val="000C5E85"/>
    <w:rsid w:val="000C6B12"/>
    <w:rsid w:val="000C6B6C"/>
    <w:rsid w:val="000C6EA6"/>
    <w:rsid w:val="000C7C70"/>
    <w:rsid w:val="000C7D31"/>
    <w:rsid w:val="000D02D4"/>
    <w:rsid w:val="000D03D4"/>
    <w:rsid w:val="000D04FA"/>
    <w:rsid w:val="000D0904"/>
    <w:rsid w:val="000D1A5F"/>
    <w:rsid w:val="000D1AEE"/>
    <w:rsid w:val="000D2917"/>
    <w:rsid w:val="000D29B2"/>
    <w:rsid w:val="000D3463"/>
    <w:rsid w:val="000D48C3"/>
    <w:rsid w:val="000D559A"/>
    <w:rsid w:val="000D61CA"/>
    <w:rsid w:val="000D6F8E"/>
    <w:rsid w:val="000D7E51"/>
    <w:rsid w:val="000D7E8B"/>
    <w:rsid w:val="000E1EBA"/>
    <w:rsid w:val="000E2204"/>
    <w:rsid w:val="000E25AE"/>
    <w:rsid w:val="000E2966"/>
    <w:rsid w:val="000E42EC"/>
    <w:rsid w:val="000E55AF"/>
    <w:rsid w:val="000E58D6"/>
    <w:rsid w:val="000E5E2B"/>
    <w:rsid w:val="000E604A"/>
    <w:rsid w:val="000E6AD4"/>
    <w:rsid w:val="000E6B8E"/>
    <w:rsid w:val="000E6F68"/>
    <w:rsid w:val="000F13C5"/>
    <w:rsid w:val="000F1840"/>
    <w:rsid w:val="000F2FE7"/>
    <w:rsid w:val="000F38FA"/>
    <w:rsid w:val="000F4635"/>
    <w:rsid w:val="000F52E0"/>
    <w:rsid w:val="000F54D3"/>
    <w:rsid w:val="000F5E84"/>
    <w:rsid w:val="000F6FB5"/>
    <w:rsid w:val="000F76DD"/>
    <w:rsid w:val="000F7A08"/>
    <w:rsid w:val="001000A3"/>
    <w:rsid w:val="00100D16"/>
    <w:rsid w:val="00101046"/>
    <w:rsid w:val="00102A50"/>
    <w:rsid w:val="001036A5"/>
    <w:rsid w:val="001040B4"/>
    <w:rsid w:val="00104188"/>
    <w:rsid w:val="001050B4"/>
    <w:rsid w:val="00105DEF"/>
    <w:rsid w:val="00106177"/>
    <w:rsid w:val="001062C5"/>
    <w:rsid w:val="001069A7"/>
    <w:rsid w:val="00106D30"/>
    <w:rsid w:val="00106E16"/>
    <w:rsid w:val="00107E49"/>
    <w:rsid w:val="00110077"/>
    <w:rsid w:val="001103E2"/>
    <w:rsid w:val="00110D6B"/>
    <w:rsid w:val="00111103"/>
    <w:rsid w:val="00111AF7"/>
    <w:rsid w:val="00112A82"/>
    <w:rsid w:val="00113E4F"/>
    <w:rsid w:val="001145C5"/>
    <w:rsid w:val="00114DF5"/>
    <w:rsid w:val="00115154"/>
    <w:rsid w:val="00115B49"/>
    <w:rsid w:val="00116816"/>
    <w:rsid w:val="00116AC1"/>
    <w:rsid w:val="00116F74"/>
    <w:rsid w:val="00117A1F"/>
    <w:rsid w:val="00117DF4"/>
    <w:rsid w:val="00120761"/>
    <w:rsid w:val="00121AAE"/>
    <w:rsid w:val="001221A2"/>
    <w:rsid w:val="00122868"/>
    <w:rsid w:val="00122E39"/>
    <w:rsid w:val="001230A4"/>
    <w:rsid w:val="00123315"/>
    <w:rsid w:val="001237A3"/>
    <w:rsid w:val="00123E23"/>
    <w:rsid w:val="00123FF3"/>
    <w:rsid w:val="00124CE0"/>
    <w:rsid w:val="00124EA8"/>
    <w:rsid w:val="00125F78"/>
    <w:rsid w:val="001261CB"/>
    <w:rsid w:val="00126D8D"/>
    <w:rsid w:val="0012780E"/>
    <w:rsid w:val="001310DA"/>
    <w:rsid w:val="00132464"/>
    <w:rsid w:val="001328C5"/>
    <w:rsid w:val="00133239"/>
    <w:rsid w:val="00133F2D"/>
    <w:rsid w:val="00134075"/>
    <w:rsid w:val="00134169"/>
    <w:rsid w:val="0013458E"/>
    <w:rsid w:val="001345BF"/>
    <w:rsid w:val="00134A11"/>
    <w:rsid w:val="00135336"/>
    <w:rsid w:val="00135E3D"/>
    <w:rsid w:val="00136ACA"/>
    <w:rsid w:val="00136DA7"/>
    <w:rsid w:val="001372A5"/>
    <w:rsid w:val="00140119"/>
    <w:rsid w:val="001402CD"/>
    <w:rsid w:val="00141EFB"/>
    <w:rsid w:val="00141F78"/>
    <w:rsid w:val="001431F8"/>
    <w:rsid w:val="00143BA6"/>
    <w:rsid w:val="00144BC8"/>
    <w:rsid w:val="00144BE9"/>
    <w:rsid w:val="00145225"/>
    <w:rsid w:val="001458FC"/>
    <w:rsid w:val="0014609D"/>
    <w:rsid w:val="00147266"/>
    <w:rsid w:val="00147860"/>
    <w:rsid w:val="001478FB"/>
    <w:rsid w:val="0015069B"/>
    <w:rsid w:val="00150971"/>
    <w:rsid w:val="00150C94"/>
    <w:rsid w:val="00150DDF"/>
    <w:rsid w:val="0015118D"/>
    <w:rsid w:val="001511F2"/>
    <w:rsid w:val="0015213D"/>
    <w:rsid w:val="00152993"/>
    <w:rsid w:val="00152C7F"/>
    <w:rsid w:val="00152D2C"/>
    <w:rsid w:val="001535F5"/>
    <w:rsid w:val="00154164"/>
    <w:rsid w:val="0015569A"/>
    <w:rsid w:val="00155E38"/>
    <w:rsid w:val="00155E64"/>
    <w:rsid w:val="00156D01"/>
    <w:rsid w:val="00157236"/>
    <w:rsid w:val="00157EF5"/>
    <w:rsid w:val="00161046"/>
    <w:rsid w:val="001616A5"/>
    <w:rsid w:val="00162108"/>
    <w:rsid w:val="001627A9"/>
    <w:rsid w:val="00162B9D"/>
    <w:rsid w:val="00163F30"/>
    <w:rsid w:val="001644AE"/>
    <w:rsid w:val="0016494C"/>
    <w:rsid w:val="0016497B"/>
    <w:rsid w:val="001649E6"/>
    <w:rsid w:val="00164FBB"/>
    <w:rsid w:val="00165208"/>
    <w:rsid w:val="00165641"/>
    <w:rsid w:val="001660F8"/>
    <w:rsid w:val="00166504"/>
    <w:rsid w:val="0016660A"/>
    <w:rsid w:val="00167232"/>
    <w:rsid w:val="00167386"/>
    <w:rsid w:val="00167917"/>
    <w:rsid w:val="001706F9"/>
    <w:rsid w:val="00170ABF"/>
    <w:rsid w:val="00170C8A"/>
    <w:rsid w:val="00171423"/>
    <w:rsid w:val="00172906"/>
    <w:rsid w:val="00173952"/>
    <w:rsid w:val="001755F6"/>
    <w:rsid w:val="00175B7F"/>
    <w:rsid w:val="001764C8"/>
    <w:rsid w:val="0017684B"/>
    <w:rsid w:val="00176D9E"/>
    <w:rsid w:val="00176ED1"/>
    <w:rsid w:val="0017782E"/>
    <w:rsid w:val="00180740"/>
    <w:rsid w:val="00181D68"/>
    <w:rsid w:val="00182380"/>
    <w:rsid w:val="001826CA"/>
    <w:rsid w:val="00182E6C"/>
    <w:rsid w:val="00183BFA"/>
    <w:rsid w:val="00184849"/>
    <w:rsid w:val="00184E27"/>
    <w:rsid w:val="0018529F"/>
    <w:rsid w:val="00185870"/>
    <w:rsid w:val="00187EF4"/>
    <w:rsid w:val="00190528"/>
    <w:rsid w:val="00193774"/>
    <w:rsid w:val="00194006"/>
    <w:rsid w:val="00194ABA"/>
    <w:rsid w:val="00195EF4"/>
    <w:rsid w:val="0019612D"/>
    <w:rsid w:val="00196362"/>
    <w:rsid w:val="00196A2C"/>
    <w:rsid w:val="00196B75"/>
    <w:rsid w:val="00196D11"/>
    <w:rsid w:val="00196DF9"/>
    <w:rsid w:val="001972DD"/>
    <w:rsid w:val="0019745E"/>
    <w:rsid w:val="00197D3D"/>
    <w:rsid w:val="00197E00"/>
    <w:rsid w:val="001A0272"/>
    <w:rsid w:val="001A035F"/>
    <w:rsid w:val="001A06E4"/>
    <w:rsid w:val="001A0E8E"/>
    <w:rsid w:val="001A1127"/>
    <w:rsid w:val="001A1358"/>
    <w:rsid w:val="001A16E3"/>
    <w:rsid w:val="001A1C44"/>
    <w:rsid w:val="001A209B"/>
    <w:rsid w:val="001A2499"/>
    <w:rsid w:val="001A3F38"/>
    <w:rsid w:val="001A483D"/>
    <w:rsid w:val="001A5684"/>
    <w:rsid w:val="001A5D69"/>
    <w:rsid w:val="001A617F"/>
    <w:rsid w:val="001A6358"/>
    <w:rsid w:val="001A6741"/>
    <w:rsid w:val="001A6939"/>
    <w:rsid w:val="001B025A"/>
    <w:rsid w:val="001B0530"/>
    <w:rsid w:val="001B113E"/>
    <w:rsid w:val="001B1A21"/>
    <w:rsid w:val="001B2920"/>
    <w:rsid w:val="001B3093"/>
    <w:rsid w:val="001B416B"/>
    <w:rsid w:val="001B41B9"/>
    <w:rsid w:val="001B447B"/>
    <w:rsid w:val="001B502E"/>
    <w:rsid w:val="001B5262"/>
    <w:rsid w:val="001B539D"/>
    <w:rsid w:val="001B54B2"/>
    <w:rsid w:val="001B55EA"/>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705F"/>
    <w:rsid w:val="001C7379"/>
    <w:rsid w:val="001C79BA"/>
    <w:rsid w:val="001D0048"/>
    <w:rsid w:val="001D004C"/>
    <w:rsid w:val="001D050C"/>
    <w:rsid w:val="001D11F4"/>
    <w:rsid w:val="001D158F"/>
    <w:rsid w:val="001D29AE"/>
    <w:rsid w:val="001D2D87"/>
    <w:rsid w:val="001D3251"/>
    <w:rsid w:val="001D392E"/>
    <w:rsid w:val="001D4BC8"/>
    <w:rsid w:val="001D4BD1"/>
    <w:rsid w:val="001D53F5"/>
    <w:rsid w:val="001D618B"/>
    <w:rsid w:val="001D6C54"/>
    <w:rsid w:val="001D6F80"/>
    <w:rsid w:val="001D6F8E"/>
    <w:rsid w:val="001D7005"/>
    <w:rsid w:val="001D758A"/>
    <w:rsid w:val="001D7E60"/>
    <w:rsid w:val="001E010D"/>
    <w:rsid w:val="001E0130"/>
    <w:rsid w:val="001E0E81"/>
    <w:rsid w:val="001E100A"/>
    <w:rsid w:val="001E1106"/>
    <w:rsid w:val="001E15B3"/>
    <w:rsid w:val="001E1DAB"/>
    <w:rsid w:val="001E20E8"/>
    <w:rsid w:val="001E241F"/>
    <w:rsid w:val="001E2903"/>
    <w:rsid w:val="001E2928"/>
    <w:rsid w:val="001E2FD6"/>
    <w:rsid w:val="001E437E"/>
    <w:rsid w:val="001E49A2"/>
    <w:rsid w:val="001E5187"/>
    <w:rsid w:val="001E550A"/>
    <w:rsid w:val="001E6175"/>
    <w:rsid w:val="001E65B6"/>
    <w:rsid w:val="001E70DA"/>
    <w:rsid w:val="001E74E8"/>
    <w:rsid w:val="001E7D93"/>
    <w:rsid w:val="001F06CE"/>
    <w:rsid w:val="001F14EC"/>
    <w:rsid w:val="001F210A"/>
    <w:rsid w:val="001F235E"/>
    <w:rsid w:val="001F3430"/>
    <w:rsid w:val="001F4135"/>
    <w:rsid w:val="001F4895"/>
    <w:rsid w:val="001F4A8B"/>
    <w:rsid w:val="001F546A"/>
    <w:rsid w:val="001F6054"/>
    <w:rsid w:val="001F6595"/>
    <w:rsid w:val="001F6F4E"/>
    <w:rsid w:val="001F727D"/>
    <w:rsid w:val="001F774C"/>
    <w:rsid w:val="0020278C"/>
    <w:rsid w:val="00202CAB"/>
    <w:rsid w:val="00202E7F"/>
    <w:rsid w:val="00203143"/>
    <w:rsid w:val="00203806"/>
    <w:rsid w:val="002044F1"/>
    <w:rsid w:val="00205738"/>
    <w:rsid w:val="00205D25"/>
    <w:rsid w:val="00205F15"/>
    <w:rsid w:val="00206E5D"/>
    <w:rsid w:val="00207120"/>
    <w:rsid w:val="002079FD"/>
    <w:rsid w:val="00207EEB"/>
    <w:rsid w:val="00210ADC"/>
    <w:rsid w:val="0021126C"/>
    <w:rsid w:val="002119C9"/>
    <w:rsid w:val="00211F35"/>
    <w:rsid w:val="0021298E"/>
    <w:rsid w:val="00213900"/>
    <w:rsid w:val="002149B9"/>
    <w:rsid w:val="00214CB1"/>
    <w:rsid w:val="00215269"/>
    <w:rsid w:val="002177E0"/>
    <w:rsid w:val="0022087E"/>
    <w:rsid w:val="00220DCE"/>
    <w:rsid w:val="00221195"/>
    <w:rsid w:val="00221881"/>
    <w:rsid w:val="00222738"/>
    <w:rsid w:val="00223E97"/>
    <w:rsid w:val="00223F95"/>
    <w:rsid w:val="00224C4E"/>
    <w:rsid w:val="00225A33"/>
    <w:rsid w:val="002261F2"/>
    <w:rsid w:val="00226980"/>
    <w:rsid w:val="002279E0"/>
    <w:rsid w:val="00230C5B"/>
    <w:rsid w:val="002324B2"/>
    <w:rsid w:val="0023255D"/>
    <w:rsid w:val="00232D1F"/>
    <w:rsid w:val="00232D5F"/>
    <w:rsid w:val="00233188"/>
    <w:rsid w:val="00233685"/>
    <w:rsid w:val="002336ED"/>
    <w:rsid w:val="00233DD7"/>
    <w:rsid w:val="00233EDD"/>
    <w:rsid w:val="00235349"/>
    <w:rsid w:val="0023551A"/>
    <w:rsid w:val="002357B6"/>
    <w:rsid w:val="00235BF6"/>
    <w:rsid w:val="00235F05"/>
    <w:rsid w:val="002364E2"/>
    <w:rsid w:val="002365F5"/>
    <w:rsid w:val="00236A7C"/>
    <w:rsid w:val="00236F03"/>
    <w:rsid w:val="0023702E"/>
    <w:rsid w:val="00237167"/>
    <w:rsid w:val="00237C97"/>
    <w:rsid w:val="00237ECB"/>
    <w:rsid w:val="00237FA7"/>
    <w:rsid w:val="00240014"/>
    <w:rsid w:val="0024006E"/>
    <w:rsid w:val="00240B56"/>
    <w:rsid w:val="002413C0"/>
    <w:rsid w:val="00241509"/>
    <w:rsid w:val="00241900"/>
    <w:rsid w:val="00242D47"/>
    <w:rsid w:val="00242E4B"/>
    <w:rsid w:val="002435C3"/>
    <w:rsid w:val="00243696"/>
    <w:rsid w:val="0024377D"/>
    <w:rsid w:val="00244014"/>
    <w:rsid w:val="0024409C"/>
    <w:rsid w:val="00245109"/>
    <w:rsid w:val="00245E27"/>
    <w:rsid w:val="00246308"/>
    <w:rsid w:val="0024639E"/>
    <w:rsid w:val="002463BD"/>
    <w:rsid w:val="002473FF"/>
    <w:rsid w:val="00247716"/>
    <w:rsid w:val="00247BCE"/>
    <w:rsid w:val="002510CF"/>
    <w:rsid w:val="00251903"/>
    <w:rsid w:val="00252B08"/>
    <w:rsid w:val="00252C11"/>
    <w:rsid w:val="00253889"/>
    <w:rsid w:val="00253ABC"/>
    <w:rsid w:val="0025415A"/>
    <w:rsid w:val="002542A9"/>
    <w:rsid w:val="00254EB2"/>
    <w:rsid w:val="00255248"/>
    <w:rsid w:val="00255371"/>
    <w:rsid w:val="002558CC"/>
    <w:rsid w:val="002560BE"/>
    <w:rsid w:val="00256410"/>
    <w:rsid w:val="00256E21"/>
    <w:rsid w:val="002575E6"/>
    <w:rsid w:val="00260127"/>
    <w:rsid w:val="0026103F"/>
    <w:rsid w:val="0026279B"/>
    <w:rsid w:val="00262D2F"/>
    <w:rsid w:val="002644BF"/>
    <w:rsid w:val="002647EF"/>
    <w:rsid w:val="00264A08"/>
    <w:rsid w:val="00264AB1"/>
    <w:rsid w:val="00264BCF"/>
    <w:rsid w:val="00266101"/>
    <w:rsid w:val="002662B8"/>
    <w:rsid w:val="002662E0"/>
    <w:rsid w:val="002667A9"/>
    <w:rsid w:val="0026684E"/>
    <w:rsid w:val="00266B28"/>
    <w:rsid w:val="002679DA"/>
    <w:rsid w:val="00267FB4"/>
    <w:rsid w:val="00270006"/>
    <w:rsid w:val="0027118D"/>
    <w:rsid w:val="002712BE"/>
    <w:rsid w:val="00271340"/>
    <w:rsid w:val="002716AA"/>
    <w:rsid w:val="00271AFE"/>
    <w:rsid w:val="00271C38"/>
    <w:rsid w:val="0027290C"/>
    <w:rsid w:val="00273508"/>
    <w:rsid w:val="0027400C"/>
    <w:rsid w:val="0027400D"/>
    <w:rsid w:val="0027461F"/>
    <w:rsid w:val="0027470F"/>
    <w:rsid w:val="00274A83"/>
    <w:rsid w:val="0027601E"/>
    <w:rsid w:val="002761CE"/>
    <w:rsid w:val="0027641C"/>
    <w:rsid w:val="00276DAE"/>
    <w:rsid w:val="002778D7"/>
    <w:rsid w:val="00277972"/>
    <w:rsid w:val="0028034D"/>
    <w:rsid w:val="00281114"/>
    <w:rsid w:val="00281907"/>
    <w:rsid w:val="00281CAA"/>
    <w:rsid w:val="0028208E"/>
    <w:rsid w:val="0028248B"/>
    <w:rsid w:val="00283E5D"/>
    <w:rsid w:val="002845CB"/>
    <w:rsid w:val="00284D06"/>
    <w:rsid w:val="002859AA"/>
    <w:rsid w:val="00285D38"/>
    <w:rsid w:val="00285F9B"/>
    <w:rsid w:val="0028648F"/>
    <w:rsid w:val="002869A7"/>
    <w:rsid w:val="002875F3"/>
    <w:rsid w:val="002907FD"/>
    <w:rsid w:val="0029203F"/>
    <w:rsid w:val="002928F1"/>
    <w:rsid w:val="00293077"/>
    <w:rsid w:val="00293710"/>
    <w:rsid w:val="0029385C"/>
    <w:rsid w:val="00293B55"/>
    <w:rsid w:val="00294705"/>
    <w:rsid w:val="00295095"/>
    <w:rsid w:val="002957DE"/>
    <w:rsid w:val="00295D12"/>
    <w:rsid w:val="002968E8"/>
    <w:rsid w:val="00296BEA"/>
    <w:rsid w:val="0029715B"/>
    <w:rsid w:val="0029771B"/>
    <w:rsid w:val="00297835"/>
    <w:rsid w:val="00297B0F"/>
    <w:rsid w:val="00297E32"/>
    <w:rsid w:val="002A02E6"/>
    <w:rsid w:val="002A090B"/>
    <w:rsid w:val="002A0D81"/>
    <w:rsid w:val="002A116A"/>
    <w:rsid w:val="002A176F"/>
    <w:rsid w:val="002A1AA3"/>
    <w:rsid w:val="002A1F08"/>
    <w:rsid w:val="002A2019"/>
    <w:rsid w:val="002A2B5C"/>
    <w:rsid w:val="002A3059"/>
    <w:rsid w:val="002A3591"/>
    <w:rsid w:val="002A38B8"/>
    <w:rsid w:val="002A4D4F"/>
    <w:rsid w:val="002A5334"/>
    <w:rsid w:val="002A5B9D"/>
    <w:rsid w:val="002A630F"/>
    <w:rsid w:val="002A6DCB"/>
    <w:rsid w:val="002B0462"/>
    <w:rsid w:val="002B05BC"/>
    <w:rsid w:val="002B0681"/>
    <w:rsid w:val="002B07AC"/>
    <w:rsid w:val="002B0AE7"/>
    <w:rsid w:val="002B176E"/>
    <w:rsid w:val="002B1C96"/>
    <w:rsid w:val="002B1F3A"/>
    <w:rsid w:val="002B3601"/>
    <w:rsid w:val="002B37B8"/>
    <w:rsid w:val="002B3FE5"/>
    <w:rsid w:val="002B4AC0"/>
    <w:rsid w:val="002B5662"/>
    <w:rsid w:val="002B591E"/>
    <w:rsid w:val="002B6183"/>
    <w:rsid w:val="002B61E0"/>
    <w:rsid w:val="002B6DB0"/>
    <w:rsid w:val="002B726B"/>
    <w:rsid w:val="002B7BAC"/>
    <w:rsid w:val="002B7C66"/>
    <w:rsid w:val="002B7D8B"/>
    <w:rsid w:val="002B7F7A"/>
    <w:rsid w:val="002C067F"/>
    <w:rsid w:val="002C0798"/>
    <w:rsid w:val="002C1010"/>
    <w:rsid w:val="002C1891"/>
    <w:rsid w:val="002C253D"/>
    <w:rsid w:val="002C25B8"/>
    <w:rsid w:val="002C458B"/>
    <w:rsid w:val="002C62AF"/>
    <w:rsid w:val="002C6C9F"/>
    <w:rsid w:val="002D004D"/>
    <w:rsid w:val="002D189F"/>
    <w:rsid w:val="002D1A98"/>
    <w:rsid w:val="002D2580"/>
    <w:rsid w:val="002D3FD9"/>
    <w:rsid w:val="002D4B9A"/>
    <w:rsid w:val="002D575A"/>
    <w:rsid w:val="002D5CFB"/>
    <w:rsid w:val="002D6378"/>
    <w:rsid w:val="002D667F"/>
    <w:rsid w:val="002D67AA"/>
    <w:rsid w:val="002D69A1"/>
    <w:rsid w:val="002D6CD9"/>
    <w:rsid w:val="002D7059"/>
    <w:rsid w:val="002D7067"/>
    <w:rsid w:val="002D7D85"/>
    <w:rsid w:val="002D7E38"/>
    <w:rsid w:val="002E0638"/>
    <w:rsid w:val="002E1D84"/>
    <w:rsid w:val="002E20D1"/>
    <w:rsid w:val="002E3A2B"/>
    <w:rsid w:val="002E3AAE"/>
    <w:rsid w:val="002E3C40"/>
    <w:rsid w:val="002E3DEB"/>
    <w:rsid w:val="002E43E1"/>
    <w:rsid w:val="002E46EB"/>
    <w:rsid w:val="002E494B"/>
    <w:rsid w:val="002E5076"/>
    <w:rsid w:val="002E5BC6"/>
    <w:rsid w:val="002E5EC9"/>
    <w:rsid w:val="002E6408"/>
    <w:rsid w:val="002E6E44"/>
    <w:rsid w:val="002E70F8"/>
    <w:rsid w:val="002F04CC"/>
    <w:rsid w:val="002F0BEC"/>
    <w:rsid w:val="002F0C2C"/>
    <w:rsid w:val="002F161E"/>
    <w:rsid w:val="002F1C3A"/>
    <w:rsid w:val="002F1DA6"/>
    <w:rsid w:val="002F229E"/>
    <w:rsid w:val="002F24B8"/>
    <w:rsid w:val="002F2BC2"/>
    <w:rsid w:val="002F3460"/>
    <w:rsid w:val="002F37D9"/>
    <w:rsid w:val="002F3843"/>
    <w:rsid w:val="002F41D0"/>
    <w:rsid w:val="002F464F"/>
    <w:rsid w:val="002F46DD"/>
    <w:rsid w:val="002F47F2"/>
    <w:rsid w:val="002F4AD1"/>
    <w:rsid w:val="002F618F"/>
    <w:rsid w:val="002F6407"/>
    <w:rsid w:val="002F6593"/>
    <w:rsid w:val="002F6C99"/>
    <w:rsid w:val="002F7559"/>
    <w:rsid w:val="002F79E5"/>
    <w:rsid w:val="00300DA2"/>
    <w:rsid w:val="003028F1"/>
    <w:rsid w:val="0030362F"/>
    <w:rsid w:val="00303A12"/>
    <w:rsid w:val="00304933"/>
    <w:rsid w:val="003050A7"/>
    <w:rsid w:val="00305690"/>
    <w:rsid w:val="00305744"/>
    <w:rsid w:val="00305B0E"/>
    <w:rsid w:val="00305E97"/>
    <w:rsid w:val="00305EE8"/>
    <w:rsid w:val="00305FD4"/>
    <w:rsid w:val="003063CF"/>
    <w:rsid w:val="00306421"/>
    <w:rsid w:val="00306D2B"/>
    <w:rsid w:val="00306D85"/>
    <w:rsid w:val="00307E43"/>
    <w:rsid w:val="00307FFD"/>
    <w:rsid w:val="00311DE4"/>
    <w:rsid w:val="00312003"/>
    <w:rsid w:val="00312B2A"/>
    <w:rsid w:val="00312BFB"/>
    <w:rsid w:val="0031317E"/>
    <w:rsid w:val="00313E0E"/>
    <w:rsid w:val="00314EBB"/>
    <w:rsid w:val="003155A4"/>
    <w:rsid w:val="003160AA"/>
    <w:rsid w:val="003171F9"/>
    <w:rsid w:val="00317362"/>
    <w:rsid w:val="003173FD"/>
    <w:rsid w:val="00317A53"/>
    <w:rsid w:val="00320CF3"/>
    <w:rsid w:val="00320CFD"/>
    <w:rsid w:val="003213DA"/>
    <w:rsid w:val="0032140C"/>
    <w:rsid w:val="003218E3"/>
    <w:rsid w:val="00321DDF"/>
    <w:rsid w:val="0032260D"/>
    <w:rsid w:val="003227EC"/>
    <w:rsid w:val="003229DA"/>
    <w:rsid w:val="00322A23"/>
    <w:rsid w:val="00322B49"/>
    <w:rsid w:val="00322D1E"/>
    <w:rsid w:val="0032317E"/>
    <w:rsid w:val="00323F56"/>
    <w:rsid w:val="0032489E"/>
    <w:rsid w:val="003248B1"/>
    <w:rsid w:val="003253BF"/>
    <w:rsid w:val="00325CE0"/>
    <w:rsid w:val="00326EBC"/>
    <w:rsid w:val="00327115"/>
    <w:rsid w:val="00331357"/>
    <w:rsid w:val="00331CB9"/>
    <w:rsid w:val="003327B5"/>
    <w:rsid w:val="00332BC8"/>
    <w:rsid w:val="00333AD8"/>
    <w:rsid w:val="0033427A"/>
    <w:rsid w:val="00334435"/>
    <w:rsid w:val="00334B35"/>
    <w:rsid w:val="00334C07"/>
    <w:rsid w:val="0033546D"/>
    <w:rsid w:val="0033569C"/>
    <w:rsid w:val="003362B9"/>
    <w:rsid w:val="003365F9"/>
    <w:rsid w:val="00336BCA"/>
    <w:rsid w:val="00336C8C"/>
    <w:rsid w:val="003373DF"/>
    <w:rsid w:val="00337617"/>
    <w:rsid w:val="00340477"/>
    <w:rsid w:val="0034071E"/>
    <w:rsid w:val="00341D9E"/>
    <w:rsid w:val="00341F5F"/>
    <w:rsid w:val="003422D5"/>
    <w:rsid w:val="00342AF0"/>
    <w:rsid w:val="0034581F"/>
    <w:rsid w:val="00345CBC"/>
    <w:rsid w:val="00346A65"/>
    <w:rsid w:val="00347A8F"/>
    <w:rsid w:val="00347FBE"/>
    <w:rsid w:val="0035083B"/>
    <w:rsid w:val="003510E4"/>
    <w:rsid w:val="00352835"/>
    <w:rsid w:val="00352984"/>
    <w:rsid w:val="003530D9"/>
    <w:rsid w:val="00353596"/>
    <w:rsid w:val="00353BCD"/>
    <w:rsid w:val="003540C8"/>
    <w:rsid w:val="00354DB9"/>
    <w:rsid w:val="00354E41"/>
    <w:rsid w:val="00355875"/>
    <w:rsid w:val="0035596C"/>
    <w:rsid w:val="00355C57"/>
    <w:rsid w:val="00355EB4"/>
    <w:rsid w:val="003569B5"/>
    <w:rsid w:val="00356E35"/>
    <w:rsid w:val="003571FC"/>
    <w:rsid w:val="00357CCD"/>
    <w:rsid w:val="00357F92"/>
    <w:rsid w:val="0036058F"/>
    <w:rsid w:val="00360CFB"/>
    <w:rsid w:val="00362A61"/>
    <w:rsid w:val="0036308E"/>
    <w:rsid w:val="00363D15"/>
    <w:rsid w:val="003640C4"/>
    <w:rsid w:val="003642BD"/>
    <w:rsid w:val="00364AD3"/>
    <w:rsid w:val="003654D6"/>
    <w:rsid w:val="00365810"/>
    <w:rsid w:val="003661EF"/>
    <w:rsid w:val="00366A60"/>
    <w:rsid w:val="00366B5C"/>
    <w:rsid w:val="003671AB"/>
    <w:rsid w:val="003677AC"/>
    <w:rsid w:val="00367841"/>
    <w:rsid w:val="00371214"/>
    <w:rsid w:val="003732F1"/>
    <w:rsid w:val="00373C1D"/>
    <w:rsid w:val="00373FCD"/>
    <w:rsid w:val="00374FD5"/>
    <w:rsid w:val="0037594A"/>
    <w:rsid w:val="00375EEB"/>
    <w:rsid w:val="00376A88"/>
    <w:rsid w:val="0037709D"/>
    <w:rsid w:val="0037792D"/>
    <w:rsid w:val="00377E32"/>
    <w:rsid w:val="00380B51"/>
    <w:rsid w:val="00380D18"/>
    <w:rsid w:val="003811E4"/>
    <w:rsid w:val="00381735"/>
    <w:rsid w:val="003817FF"/>
    <w:rsid w:val="00381DC9"/>
    <w:rsid w:val="00382105"/>
    <w:rsid w:val="003822A6"/>
    <w:rsid w:val="00382C79"/>
    <w:rsid w:val="00386068"/>
    <w:rsid w:val="00386C74"/>
    <w:rsid w:val="00387008"/>
    <w:rsid w:val="0038778B"/>
    <w:rsid w:val="00390086"/>
    <w:rsid w:val="00390242"/>
    <w:rsid w:val="00390555"/>
    <w:rsid w:val="00391005"/>
    <w:rsid w:val="00391DED"/>
    <w:rsid w:val="00392DC3"/>
    <w:rsid w:val="00393B38"/>
    <w:rsid w:val="0039416E"/>
    <w:rsid w:val="00394595"/>
    <w:rsid w:val="003945C6"/>
    <w:rsid w:val="00394726"/>
    <w:rsid w:val="00394A1B"/>
    <w:rsid w:val="00395402"/>
    <w:rsid w:val="00395AE4"/>
    <w:rsid w:val="00395FE8"/>
    <w:rsid w:val="00396A6B"/>
    <w:rsid w:val="00396B47"/>
    <w:rsid w:val="00396D3A"/>
    <w:rsid w:val="003A0328"/>
    <w:rsid w:val="003A09E5"/>
    <w:rsid w:val="003A0B34"/>
    <w:rsid w:val="003A1420"/>
    <w:rsid w:val="003A243E"/>
    <w:rsid w:val="003A269C"/>
    <w:rsid w:val="003A3261"/>
    <w:rsid w:val="003A35EE"/>
    <w:rsid w:val="003A3905"/>
    <w:rsid w:val="003A48DB"/>
    <w:rsid w:val="003A5794"/>
    <w:rsid w:val="003A5825"/>
    <w:rsid w:val="003A5BB3"/>
    <w:rsid w:val="003A600E"/>
    <w:rsid w:val="003A6060"/>
    <w:rsid w:val="003A7475"/>
    <w:rsid w:val="003B027E"/>
    <w:rsid w:val="003B060F"/>
    <w:rsid w:val="003B0B26"/>
    <w:rsid w:val="003B10D0"/>
    <w:rsid w:val="003B1983"/>
    <w:rsid w:val="003B19BE"/>
    <w:rsid w:val="003B262C"/>
    <w:rsid w:val="003B291C"/>
    <w:rsid w:val="003B296C"/>
    <w:rsid w:val="003B2D3D"/>
    <w:rsid w:val="003B3874"/>
    <w:rsid w:val="003B38E1"/>
    <w:rsid w:val="003B4E51"/>
    <w:rsid w:val="003B56E9"/>
    <w:rsid w:val="003B5B79"/>
    <w:rsid w:val="003B5C98"/>
    <w:rsid w:val="003B6610"/>
    <w:rsid w:val="003B6CCF"/>
    <w:rsid w:val="003B75EF"/>
    <w:rsid w:val="003C0948"/>
    <w:rsid w:val="003C2473"/>
    <w:rsid w:val="003C263E"/>
    <w:rsid w:val="003C2A3F"/>
    <w:rsid w:val="003C2D37"/>
    <w:rsid w:val="003C30ED"/>
    <w:rsid w:val="003C3778"/>
    <w:rsid w:val="003C3873"/>
    <w:rsid w:val="003C3CD7"/>
    <w:rsid w:val="003C4F3B"/>
    <w:rsid w:val="003C52A9"/>
    <w:rsid w:val="003C5689"/>
    <w:rsid w:val="003C5F16"/>
    <w:rsid w:val="003C6106"/>
    <w:rsid w:val="003C6B60"/>
    <w:rsid w:val="003C7453"/>
    <w:rsid w:val="003C7D92"/>
    <w:rsid w:val="003C7EC7"/>
    <w:rsid w:val="003D035D"/>
    <w:rsid w:val="003D05B5"/>
    <w:rsid w:val="003D0A94"/>
    <w:rsid w:val="003D0CF8"/>
    <w:rsid w:val="003D133D"/>
    <w:rsid w:val="003D14C5"/>
    <w:rsid w:val="003D228D"/>
    <w:rsid w:val="003D250E"/>
    <w:rsid w:val="003D2EE0"/>
    <w:rsid w:val="003D4711"/>
    <w:rsid w:val="003D48F0"/>
    <w:rsid w:val="003D61BA"/>
    <w:rsid w:val="003D6647"/>
    <w:rsid w:val="003E2064"/>
    <w:rsid w:val="003E211E"/>
    <w:rsid w:val="003E22D6"/>
    <w:rsid w:val="003E238F"/>
    <w:rsid w:val="003E2910"/>
    <w:rsid w:val="003E2B7C"/>
    <w:rsid w:val="003E2BF1"/>
    <w:rsid w:val="003E33CE"/>
    <w:rsid w:val="003E34D1"/>
    <w:rsid w:val="003E3908"/>
    <w:rsid w:val="003E3A25"/>
    <w:rsid w:val="003E4B89"/>
    <w:rsid w:val="003E4C16"/>
    <w:rsid w:val="003E4D3A"/>
    <w:rsid w:val="003E6B81"/>
    <w:rsid w:val="003E752D"/>
    <w:rsid w:val="003F18E3"/>
    <w:rsid w:val="003F319F"/>
    <w:rsid w:val="003F33B1"/>
    <w:rsid w:val="003F3E08"/>
    <w:rsid w:val="003F3E31"/>
    <w:rsid w:val="003F40C5"/>
    <w:rsid w:val="003F50C4"/>
    <w:rsid w:val="003F633C"/>
    <w:rsid w:val="003F65F1"/>
    <w:rsid w:val="003F6609"/>
    <w:rsid w:val="003F7CD2"/>
    <w:rsid w:val="004001AE"/>
    <w:rsid w:val="0040028A"/>
    <w:rsid w:val="00400720"/>
    <w:rsid w:val="00400F72"/>
    <w:rsid w:val="00401175"/>
    <w:rsid w:val="0040191E"/>
    <w:rsid w:val="00401D17"/>
    <w:rsid w:val="00402E1D"/>
    <w:rsid w:val="0040300F"/>
    <w:rsid w:val="004038F8"/>
    <w:rsid w:val="004045C4"/>
    <w:rsid w:val="00404CB2"/>
    <w:rsid w:val="0040643D"/>
    <w:rsid w:val="0040686D"/>
    <w:rsid w:val="00406EDA"/>
    <w:rsid w:val="00406F67"/>
    <w:rsid w:val="0040710F"/>
    <w:rsid w:val="00407644"/>
    <w:rsid w:val="004077D7"/>
    <w:rsid w:val="00407A09"/>
    <w:rsid w:val="00407B13"/>
    <w:rsid w:val="004101ED"/>
    <w:rsid w:val="00412AE7"/>
    <w:rsid w:val="004130AE"/>
    <w:rsid w:val="00413263"/>
    <w:rsid w:val="00414339"/>
    <w:rsid w:val="00414520"/>
    <w:rsid w:val="004145E3"/>
    <w:rsid w:val="0041486C"/>
    <w:rsid w:val="00414949"/>
    <w:rsid w:val="00414A69"/>
    <w:rsid w:val="0041552C"/>
    <w:rsid w:val="0041571D"/>
    <w:rsid w:val="00416111"/>
    <w:rsid w:val="00416BC2"/>
    <w:rsid w:val="00417F20"/>
    <w:rsid w:val="00420C64"/>
    <w:rsid w:val="00420EF0"/>
    <w:rsid w:val="00421206"/>
    <w:rsid w:val="004213A7"/>
    <w:rsid w:val="00421A1F"/>
    <w:rsid w:val="00421A20"/>
    <w:rsid w:val="00422560"/>
    <w:rsid w:val="00422A9B"/>
    <w:rsid w:val="0042353F"/>
    <w:rsid w:val="00423A2A"/>
    <w:rsid w:val="00423C14"/>
    <w:rsid w:val="00423EEC"/>
    <w:rsid w:val="00424D27"/>
    <w:rsid w:val="0042513F"/>
    <w:rsid w:val="00426465"/>
    <w:rsid w:val="0042649D"/>
    <w:rsid w:val="0042696B"/>
    <w:rsid w:val="00426D6E"/>
    <w:rsid w:val="00427E9E"/>
    <w:rsid w:val="0043067C"/>
    <w:rsid w:val="004308EC"/>
    <w:rsid w:val="00430C9A"/>
    <w:rsid w:val="00432801"/>
    <w:rsid w:val="004336E5"/>
    <w:rsid w:val="00435087"/>
    <w:rsid w:val="004356D9"/>
    <w:rsid w:val="0043667F"/>
    <w:rsid w:val="00436826"/>
    <w:rsid w:val="00436B34"/>
    <w:rsid w:val="00436D4E"/>
    <w:rsid w:val="0043764E"/>
    <w:rsid w:val="0044174F"/>
    <w:rsid w:val="004438D5"/>
    <w:rsid w:val="00443B8B"/>
    <w:rsid w:val="00443D04"/>
    <w:rsid w:val="004440DD"/>
    <w:rsid w:val="004441B4"/>
    <w:rsid w:val="00444A8E"/>
    <w:rsid w:val="0044503E"/>
    <w:rsid w:val="00445182"/>
    <w:rsid w:val="0044558C"/>
    <w:rsid w:val="00445B03"/>
    <w:rsid w:val="00445D5E"/>
    <w:rsid w:val="00446160"/>
    <w:rsid w:val="00446F5D"/>
    <w:rsid w:val="0044725F"/>
    <w:rsid w:val="00447605"/>
    <w:rsid w:val="00447A99"/>
    <w:rsid w:val="00447C23"/>
    <w:rsid w:val="00447FD3"/>
    <w:rsid w:val="0045075E"/>
    <w:rsid w:val="00450C94"/>
    <w:rsid w:val="00450FF6"/>
    <w:rsid w:val="00451274"/>
    <w:rsid w:val="004512D4"/>
    <w:rsid w:val="004525A0"/>
    <w:rsid w:val="00452A9D"/>
    <w:rsid w:val="00452D41"/>
    <w:rsid w:val="0045362B"/>
    <w:rsid w:val="00453D88"/>
    <w:rsid w:val="00454167"/>
    <w:rsid w:val="00454454"/>
    <w:rsid w:val="004549A6"/>
    <w:rsid w:val="004554E1"/>
    <w:rsid w:val="00455858"/>
    <w:rsid w:val="00455EED"/>
    <w:rsid w:val="004567D2"/>
    <w:rsid w:val="004571D0"/>
    <w:rsid w:val="0045738A"/>
    <w:rsid w:val="00457878"/>
    <w:rsid w:val="00457DD4"/>
    <w:rsid w:val="00460DCB"/>
    <w:rsid w:val="00461412"/>
    <w:rsid w:val="0046147E"/>
    <w:rsid w:val="00461491"/>
    <w:rsid w:val="004614D6"/>
    <w:rsid w:val="004623E9"/>
    <w:rsid w:val="004627F0"/>
    <w:rsid w:val="00462BDB"/>
    <w:rsid w:val="00464907"/>
    <w:rsid w:val="00465378"/>
    <w:rsid w:val="00466026"/>
    <w:rsid w:val="00466E58"/>
    <w:rsid w:val="00467764"/>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B1"/>
    <w:rsid w:val="00475F21"/>
    <w:rsid w:val="004760E0"/>
    <w:rsid w:val="00476752"/>
    <w:rsid w:val="0047781D"/>
    <w:rsid w:val="0048062C"/>
    <w:rsid w:val="00481AC2"/>
    <w:rsid w:val="00481F92"/>
    <w:rsid w:val="004822CA"/>
    <w:rsid w:val="00482577"/>
    <w:rsid w:val="00482894"/>
    <w:rsid w:val="00482D0A"/>
    <w:rsid w:val="004837A0"/>
    <w:rsid w:val="00483C8D"/>
    <w:rsid w:val="00483F7F"/>
    <w:rsid w:val="00484D77"/>
    <w:rsid w:val="0048720B"/>
    <w:rsid w:val="00491C34"/>
    <w:rsid w:val="00493D04"/>
    <w:rsid w:val="00493F7B"/>
    <w:rsid w:val="0049424D"/>
    <w:rsid w:val="004953EE"/>
    <w:rsid w:val="00496167"/>
    <w:rsid w:val="0049763D"/>
    <w:rsid w:val="00497B51"/>
    <w:rsid w:val="004A0745"/>
    <w:rsid w:val="004A17B6"/>
    <w:rsid w:val="004A23A5"/>
    <w:rsid w:val="004A24A3"/>
    <w:rsid w:val="004A25BF"/>
    <w:rsid w:val="004A2A94"/>
    <w:rsid w:val="004A2BBB"/>
    <w:rsid w:val="004A2F62"/>
    <w:rsid w:val="004A3E7A"/>
    <w:rsid w:val="004A461F"/>
    <w:rsid w:val="004A4D3C"/>
    <w:rsid w:val="004A62C7"/>
    <w:rsid w:val="004A6AB9"/>
    <w:rsid w:val="004A6BFF"/>
    <w:rsid w:val="004A7A28"/>
    <w:rsid w:val="004A7AD9"/>
    <w:rsid w:val="004B067A"/>
    <w:rsid w:val="004B09D5"/>
    <w:rsid w:val="004B1827"/>
    <w:rsid w:val="004B1947"/>
    <w:rsid w:val="004B3180"/>
    <w:rsid w:val="004B3867"/>
    <w:rsid w:val="004B39DC"/>
    <w:rsid w:val="004B3F7B"/>
    <w:rsid w:val="004B4608"/>
    <w:rsid w:val="004B59AA"/>
    <w:rsid w:val="004B5FA9"/>
    <w:rsid w:val="004B657B"/>
    <w:rsid w:val="004B65FC"/>
    <w:rsid w:val="004B65FD"/>
    <w:rsid w:val="004B6E18"/>
    <w:rsid w:val="004B72F2"/>
    <w:rsid w:val="004C0B0E"/>
    <w:rsid w:val="004C0FBB"/>
    <w:rsid w:val="004C191F"/>
    <w:rsid w:val="004C1C0E"/>
    <w:rsid w:val="004C1E44"/>
    <w:rsid w:val="004C26EC"/>
    <w:rsid w:val="004C2812"/>
    <w:rsid w:val="004C2D8C"/>
    <w:rsid w:val="004C2F3E"/>
    <w:rsid w:val="004C3C55"/>
    <w:rsid w:val="004C49D7"/>
    <w:rsid w:val="004C5CD2"/>
    <w:rsid w:val="004C6EA3"/>
    <w:rsid w:val="004C7540"/>
    <w:rsid w:val="004D008C"/>
    <w:rsid w:val="004D1260"/>
    <w:rsid w:val="004D16BC"/>
    <w:rsid w:val="004D29B2"/>
    <w:rsid w:val="004D2C53"/>
    <w:rsid w:val="004D31E9"/>
    <w:rsid w:val="004D36DC"/>
    <w:rsid w:val="004D40B5"/>
    <w:rsid w:val="004D41B3"/>
    <w:rsid w:val="004D437F"/>
    <w:rsid w:val="004D4410"/>
    <w:rsid w:val="004D4843"/>
    <w:rsid w:val="004D4AED"/>
    <w:rsid w:val="004D4E4F"/>
    <w:rsid w:val="004D5F34"/>
    <w:rsid w:val="004D6F36"/>
    <w:rsid w:val="004D721D"/>
    <w:rsid w:val="004E0417"/>
    <w:rsid w:val="004E06F9"/>
    <w:rsid w:val="004E08C0"/>
    <w:rsid w:val="004E0CD1"/>
    <w:rsid w:val="004E2AD7"/>
    <w:rsid w:val="004E5450"/>
    <w:rsid w:val="004E556D"/>
    <w:rsid w:val="004E617D"/>
    <w:rsid w:val="004E76F6"/>
    <w:rsid w:val="004E78EF"/>
    <w:rsid w:val="004E7DDC"/>
    <w:rsid w:val="004F19B1"/>
    <w:rsid w:val="004F1E2F"/>
    <w:rsid w:val="004F2823"/>
    <w:rsid w:val="004F2888"/>
    <w:rsid w:val="004F30A0"/>
    <w:rsid w:val="004F37A7"/>
    <w:rsid w:val="004F39A6"/>
    <w:rsid w:val="004F39E0"/>
    <w:rsid w:val="004F3F5C"/>
    <w:rsid w:val="004F4F14"/>
    <w:rsid w:val="004F509B"/>
    <w:rsid w:val="004F50ED"/>
    <w:rsid w:val="004F52B9"/>
    <w:rsid w:val="004F5648"/>
    <w:rsid w:val="004F596F"/>
    <w:rsid w:val="004F60BA"/>
    <w:rsid w:val="004F63F2"/>
    <w:rsid w:val="004F6605"/>
    <w:rsid w:val="004F70AF"/>
    <w:rsid w:val="004F772F"/>
    <w:rsid w:val="005005A4"/>
    <w:rsid w:val="005006CF"/>
    <w:rsid w:val="00500ED5"/>
    <w:rsid w:val="00501447"/>
    <w:rsid w:val="00501B70"/>
    <w:rsid w:val="00502557"/>
    <w:rsid w:val="0050368D"/>
    <w:rsid w:val="00505DFC"/>
    <w:rsid w:val="0050612D"/>
    <w:rsid w:val="00507E3A"/>
    <w:rsid w:val="005109B9"/>
    <w:rsid w:val="00510F82"/>
    <w:rsid w:val="00511054"/>
    <w:rsid w:val="00512946"/>
    <w:rsid w:val="00512FB1"/>
    <w:rsid w:val="00512FD9"/>
    <w:rsid w:val="00513869"/>
    <w:rsid w:val="00513D1B"/>
    <w:rsid w:val="00514569"/>
    <w:rsid w:val="00514A56"/>
    <w:rsid w:val="00515162"/>
    <w:rsid w:val="005170C9"/>
    <w:rsid w:val="00517476"/>
    <w:rsid w:val="00517A8F"/>
    <w:rsid w:val="00520745"/>
    <w:rsid w:val="00520821"/>
    <w:rsid w:val="005211BE"/>
    <w:rsid w:val="00521649"/>
    <w:rsid w:val="00521A76"/>
    <w:rsid w:val="00522069"/>
    <w:rsid w:val="00522399"/>
    <w:rsid w:val="005224E7"/>
    <w:rsid w:val="00522700"/>
    <w:rsid w:val="00523205"/>
    <w:rsid w:val="0052400E"/>
    <w:rsid w:val="00524317"/>
    <w:rsid w:val="00524427"/>
    <w:rsid w:val="00524C2F"/>
    <w:rsid w:val="005250ED"/>
    <w:rsid w:val="00525234"/>
    <w:rsid w:val="00525C1C"/>
    <w:rsid w:val="00526B01"/>
    <w:rsid w:val="00527AA1"/>
    <w:rsid w:val="00527F12"/>
    <w:rsid w:val="00527FF5"/>
    <w:rsid w:val="005300E3"/>
    <w:rsid w:val="00530AC9"/>
    <w:rsid w:val="00532ECC"/>
    <w:rsid w:val="00533684"/>
    <w:rsid w:val="00533A03"/>
    <w:rsid w:val="00533B0A"/>
    <w:rsid w:val="005348FE"/>
    <w:rsid w:val="00535035"/>
    <w:rsid w:val="00535039"/>
    <w:rsid w:val="00535162"/>
    <w:rsid w:val="005353D2"/>
    <w:rsid w:val="00535F45"/>
    <w:rsid w:val="0053613B"/>
    <w:rsid w:val="005364E8"/>
    <w:rsid w:val="005366A0"/>
    <w:rsid w:val="00536958"/>
    <w:rsid w:val="005370BC"/>
    <w:rsid w:val="0054041F"/>
    <w:rsid w:val="00540899"/>
    <w:rsid w:val="00541AF9"/>
    <w:rsid w:val="0054203B"/>
    <w:rsid w:val="00542663"/>
    <w:rsid w:val="00542E23"/>
    <w:rsid w:val="005437A8"/>
    <w:rsid w:val="0054491D"/>
    <w:rsid w:val="0054493C"/>
    <w:rsid w:val="005462B3"/>
    <w:rsid w:val="00547C16"/>
    <w:rsid w:val="0055165D"/>
    <w:rsid w:val="00551BE2"/>
    <w:rsid w:val="005534DF"/>
    <w:rsid w:val="00553B94"/>
    <w:rsid w:val="00553D4C"/>
    <w:rsid w:val="00553DE1"/>
    <w:rsid w:val="0055467B"/>
    <w:rsid w:val="0055481D"/>
    <w:rsid w:val="005554D8"/>
    <w:rsid w:val="0055643E"/>
    <w:rsid w:val="00556456"/>
    <w:rsid w:val="00556C00"/>
    <w:rsid w:val="00557CA6"/>
    <w:rsid w:val="00560CCC"/>
    <w:rsid w:val="00561335"/>
    <w:rsid w:val="0056216E"/>
    <w:rsid w:val="0056217F"/>
    <w:rsid w:val="00562256"/>
    <w:rsid w:val="005624C3"/>
    <w:rsid w:val="00562949"/>
    <w:rsid w:val="00562AF3"/>
    <w:rsid w:val="00562C60"/>
    <w:rsid w:val="0056336C"/>
    <w:rsid w:val="00563A6A"/>
    <w:rsid w:val="00563C62"/>
    <w:rsid w:val="0056473A"/>
    <w:rsid w:val="00564AE1"/>
    <w:rsid w:val="0056500E"/>
    <w:rsid w:val="00565BC0"/>
    <w:rsid w:val="00565ED5"/>
    <w:rsid w:val="00566FBE"/>
    <w:rsid w:val="005674C6"/>
    <w:rsid w:val="00567699"/>
    <w:rsid w:val="00567C89"/>
    <w:rsid w:val="00570A90"/>
    <w:rsid w:val="00570AC6"/>
    <w:rsid w:val="00571206"/>
    <w:rsid w:val="005714A4"/>
    <w:rsid w:val="005724F2"/>
    <w:rsid w:val="00572779"/>
    <w:rsid w:val="005731CF"/>
    <w:rsid w:val="00573954"/>
    <w:rsid w:val="00573BD7"/>
    <w:rsid w:val="00573C96"/>
    <w:rsid w:val="00575874"/>
    <w:rsid w:val="005768F9"/>
    <w:rsid w:val="0057697A"/>
    <w:rsid w:val="00576DA7"/>
    <w:rsid w:val="00580058"/>
    <w:rsid w:val="00580A52"/>
    <w:rsid w:val="00581441"/>
    <w:rsid w:val="00581848"/>
    <w:rsid w:val="00581BE8"/>
    <w:rsid w:val="00582577"/>
    <w:rsid w:val="0058281A"/>
    <w:rsid w:val="00582C07"/>
    <w:rsid w:val="00582C13"/>
    <w:rsid w:val="00583201"/>
    <w:rsid w:val="00583686"/>
    <w:rsid w:val="0058404A"/>
    <w:rsid w:val="0058465C"/>
    <w:rsid w:val="00585A45"/>
    <w:rsid w:val="00586622"/>
    <w:rsid w:val="00587EE2"/>
    <w:rsid w:val="005900E7"/>
    <w:rsid w:val="005906AF"/>
    <w:rsid w:val="00591FF7"/>
    <w:rsid w:val="00592093"/>
    <w:rsid w:val="005921B5"/>
    <w:rsid w:val="0059221C"/>
    <w:rsid w:val="0059246F"/>
    <w:rsid w:val="00594C60"/>
    <w:rsid w:val="00595E04"/>
    <w:rsid w:val="00596526"/>
    <w:rsid w:val="00596789"/>
    <w:rsid w:val="00597084"/>
    <w:rsid w:val="00597DA6"/>
    <w:rsid w:val="005A0065"/>
    <w:rsid w:val="005A0EA2"/>
    <w:rsid w:val="005A13B5"/>
    <w:rsid w:val="005A1654"/>
    <w:rsid w:val="005A1B7C"/>
    <w:rsid w:val="005A1E11"/>
    <w:rsid w:val="005A20CE"/>
    <w:rsid w:val="005A20DC"/>
    <w:rsid w:val="005A2E3C"/>
    <w:rsid w:val="005A2F08"/>
    <w:rsid w:val="005A33B4"/>
    <w:rsid w:val="005A33F2"/>
    <w:rsid w:val="005A39DC"/>
    <w:rsid w:val="005A4399"/>
    <w:rsid w:val="005A5727"/>
    <w:rsid w:val="005A60EA"/>
    <w:rsid w:val="005A622C"/>
    <w:rsid w:val="005A63FC"/>
    <w:rsid w:val="005A65EE"/>
    <w:rsid w:val="005A746B"/>
    <w:rsid w:val="005A7F86"/>
    <w:rsid w:val="005B0630"/>
    <w:rsid w:val="005B0B14"/>
    <w:rsid w:val="005B1722"/>
    <w:rsid w:val="005B181E"/>
    <w:rsid w:val="005B1F32"/>
    <w:rsid w:val="005B2092"/>
    <w:rsid w:val="005B22D3"/>
    <w:rsid w:val="005B2B0F"/>
    <w:rsid w:val="005B32F7"/>
    <w:rsid w:val="005B3E48"/>
    <w:rsid w:val="005B41C9"/>
    <w:rsid w:val="005B4991"/>
    <w:rsid w:val="005B4A40"/>
    <w:rsid w:val="005B72C5"/>
    <w:rsid w:val="005C04B5"/>
    <w:rsid w:val="005C06D6"/>
    <w:rsid w:val="005C07FD"/>
    <w:rsid w:val="005C10D4"/>
    <w:rsid w:val="005C1689"/>
    <w:rsid w:val="005C2DBF"/>
    <w:rsid w:val="005C31F9"/>
    <w:rsid w:val="005C37C8"/>
    <w:rsid w:val="005C3F07"/>
    <w:rsid w:val="005C53F3"/>
    <w:rsid w:val="005C5735"/>
    <w:rsid w:val="005C65C6"/>
    <w:rsid w:val="005C736F"/>
    <w:rsid w:val="005C7B0D"/>
    <w:rsid w:val="005C7C2B"/>
    <w:rsid w:val="005C7D0D"/>
    <w:rsid w:val="005C7ECE"/>
    <w:rsid w:val="005D0648"/>
    <w:rsid w:val="005D0CD1"/>
    <w:rsid w:val="005D15C8"/>
    <w:rsid w:val="005D26FD"/>
    <w:rsid w:val="005D2C7A"/>
    <w:rsid w:val="005D2C81"/>
    <w:rsid w:val="005D2E74"/>
    <w:rsid w:val="005D35FF"/>
    <w:rsid w:val="005D4187"/>
    <w:rsid w:val="005D4D03"/>
    <w:rsid w:val="005D4E9A"/>
    <w:rsid w:val="005D5C11"/>
    <w:rsid w:val="005D6828"/>
    <w:rsid w:val="005D7250"/>
    <w:rsid w:val="005D7274"/>
    <w:rsid w:val="005D7671"/>
    <w:rsid w:val="005D77DF"/>
    <w:rsid w:val="005D780F"/>
    <w:rsid w:val="005D7F88"/>
    <w:rsid w:val="005E0894"/>
    <w:rsid w:val="005E0FB9"/>
    <w:rsid w:val="005E26C3"/>
    <w:rsid w:val="005E29D5"/>
    <w:rsid w:val="005E2AF3"/>
    <w:rsid w:val="005E3458"/>
    <w:rsid w:val="005E3C35"/>
    <w:rsid w:val="005E4B4E"/>
    <w:rsid w:val="005E6A25"/>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72A2"/>
    <w:rsid w:val="005F7689"/>
    <w:rsid w:val="00601F51"/>
    <w:rsid w:val="00603E14"/>
    <w:rsid w:val="00604725"/>
    <w:rsid w:val="00604B1D"/>
    <w:rsid w:val="00604C85"/>
    <w:rsid w:val="00604E91"/>
    <w:rsid w:val="006051C3"/>
    <w:rsid w:val="006053FA"/>
    <w:rsid w:val="0060593A"/>
    <w:rsid w:val="006059A2"/>
    <w:rsid w:val="00605D04"/>
    <w:rsid w:val="00605E3A"/>
    <w:rsid w:val="0060641A"/>
    <w:rsid w:val="00606697"/>
    <w:rsid w:val="00606745"/>
    <w:rsid w:val="0060699C"/>
    <w:rsid w:val="0061039D"/>
    <w:rsid w:val="00611A32"/>
    <w:rsid w:val="00611CCA"/>
    <w:rsid w:val="00611D98"/>
    <w:rsid w:val="00613167"/>
    <w:rsid w:val="00614599"/>
    <w:rsid w:val="0061501B"/>
    <w:rsid w:val="006155E7"/>
    <w:rsid w:val="0061571F"/>
    <w:rsid w:val="00615A6A"/>
    <w:rsid w:val="00616D0A"/>
    <w:rsid w:val="00616F52"/>
    <w:rsid w:val="006172E5"/>
    <w:rsid w:val="006173BE"/>
    <w:rsid w:val="00617BC0"/>
    <w:rsid w:val="00620EB0"/>
    <w:rsid w:val="00621766"/>
    <w:rsid w:val="006220CB"/>
    <w:rsid w:val="006223B9"/>
    <w:rsid w:val="006227B6"/>
    <w:rsid w:val="00622C8B"/>
    <w:rsid w:val="00622CD1"/>
    <w:rsid w:val="00623C6E"/>
    <w:rsid w:val="0062430D"/>
    <w:rsid w:val="006244F2"/>
    <w:rsid w:val="0062642B"/>
    <w:rsid w:val="006266DF"/>
    <w:rsid w:val="00626D2D"/>
    <w:rsid w:val="006270CC"/>
    <w:rsid w:val="00630787"/>
    <w:rsid w:val="006311CB"/>
    <w:rsid w:val="00631D09"/>
    <w:rsid w:val="0063248F"/>
    <w:rsid w:val="006327B3"/>
    <w:rsid w:val="00632A21"/>
    <w:rsid w:val="00633402"/>
    <w:rsid w:val="00633455"/>
    <w:rsid w:val="00633901"/>
    <w:rsid w:val="00633BEA"/>
    <w:rsid w:val="00633EF1"/>
    <w:rsid w:val="006348B4"/>
    <w:rsid w:val="00634D27"/>
    <w:rsid w:val="00635033"/>
    <w:rsid w:val="0063543A"/>
    <w:rsid w:val="00635779"/>
    <w:rsid w:val="00635FB9"/>
    <w:rsid w:val="00636014"/>
    <w:rsid w:val="00636224"/>
    <w:rsid w:val="006372E3"/>
    <w:rsid w:val="006404BA"/>
    <w:rsid w:val="00640E8F"/>
    <w:rsid w:val="00640F50"/>
    <w:rsid w:val="00640FF3"/>
    <w:rsid w:val="00642515"/>
    <w:rsid w:val="006429EA"/>
    <w:rsid w:val="00642B61"/>
    <w:rsid w:val="00642CD9"/>
    <w:rsid w:val="00642D4D"/>
    <w:rsid w:val="00642F2C"/>
    <w:rsid w:val="0064331B"/>
    <w:rsid w:val="006438B1"/>
    <w:rsid w:val="006439AA"/>
    <w:rsid w:val="00643BCA"/>
    <w:rsid w:val="00643CF0"/>
    <w:rsid w:val="00643E50"/>
    <w:rsid w:val="00643FF4"/>
    <w:rsid w:val="006464A0"/>
    <w:rsid w:val="00647A6F"/>
    <w:rsid w:val="00647B3B"/>
    <w:rsid w:val="00650CEB"/>
    <w:rsid w:val="00650E4E"/>
    <w:rsid w:val="00650FA3"/>
    <w:rsid w:val="00651370"/>
    <w:rsid w:val="00651453"/>
    <w:rsid w:val="00651974"/>
    <w:rsid w:val="00651B51"/>
    <w:rsid w:val="00652CC9"/>
    <w:rsid w:val="00652DD7"/>
    <w:rsid w:val="00653593"/>
    <w:rsid w:val="006539E4"/>
    <w:rsid w:val="00653F61"/>
    <w:rsid w:val="00655839"/>
    <w:rsid w:val="00655BA5"/>
    <w:rsid w:val="00655E2C"/>
    <w:rsid w:val="0065629D"/>
    <w:rsid w:val="006566CB"/>
    <w:rsid w:val="0066087E"/>
    <w:rsid w:val="006617FD"/>
    <w:rsid w:val="006619C7"/>
    <w:rsid w:val="00662B0B"/>
    <w:rsid w:val="00662C69"/>
    <w:rsid w:val="00662CB9"/>
    <w:rsid w:val="0066340D"/>
    <w:rsid w:val="00663B9C"/>
    <w:rsid w:val="00663F76"/>
    <w:rsid w:val="00664157"/>
    <w:rsid w:val="00664DF2"/>
    <w:rsid w:val="006658F9"/>
    <w:rsid w:val="00665F36"/>
    <w:rsid w:val="00666E2C"/>
    <w:rsid w:val="006675AF"/>
    <w:rsid w:val="00667EE0"/>
    <w:rsid w:val="0067061B"/>
    <w:rsid w:val="006706DE"/>
    <w:rsid w:val="00670743"/>
    <w:rsid w:val="006711BA"/>
    <w:rsid w:val="0067126A"/>
    <w:rsid w:val="0067136B"/>
    <w:rsid w:val="00671C4D"/>
    <w:rsid w:val="00672FCB"/>
    <w:rsid w:val="00673F1E"/>
    <w:rsid w:val="006741B3"/>
    <w:rsid w:val="006741E6"/>
    <w:rsid w:val="00676FAA"/>
    <w:rsid w:val="00677053"/>
    <w:rsid w:val="00677C41"/>
    <w:rsid w:val="00680B3A"/>
    <w:rsid w:val="00680B98"/>
    <w:rsid w:val="00682CA9"/>
    <w:rsid w:val="00682CFF"/>
    <w:rsid w:val="00683211"/>
    <w:rsid w:val="0068338C"/>
    <w:rsid w:val="00683529"/>
    <w:rsid w:val="00683669"/>
    <w:rsid w:val="00684089"/>
    <w:rsid w:val="00684CBE"/>
    <w:rsid w:val="00684CDF"/>
    <w:rsid w:val="00684E9D"/>
    <w:rsid w:val="00684FA0"/>
    <w:rsid w:val="006854DC"/>
    <w:rsid w:val="0068590C"/>
    <w:rsid w:val="00685A43"/>
    <w:rsid w:val="00685D21"/>
    <w:rsid w:val="00686A8F"/>
    <w:rsid w:val="0068759A"/>
    <w:rsid w:val="006878C5"/>
    <w:rsid w:val="00687A49"/>
    <w:rsid w:val="00687B8D"/>
    <w:rsid w:val="0069041D"/>
    <w:rsid w:val="00692A4C"/>
    <w:rsid w:val="00692F98"/>
    <w:rsid w:val="00693AEC"/>
    <w:rsid w:val="00693CCB"/>
    <w:rsid w:val="00694B60"/>
    <w:rsid w:val="0069512E"/>
    <w:rsid w:val="00696411"/>
    <w:rsid w:val="006979F3"/>
    <w:rsid w:val="006A0415"/>
    <w:rsid w:val="006A0CBF"/>
    <w:rsid w:val="006A0E07"/>
    <w:rsid w:val="006A136B"/>
    <w:rsid w:val="006A166C"/>
    <w:rsid w:val="006A1CA7"/>
    <w:rsid w:val="006A1CE3"/>
    <w:rsid w:val="006A1CED"/>
    <w:rsid w:val="006A3369"/>
    <w:rsid w:val="006A40B3"/>
    <w:rsid w:val="006A4AA0"/>
    <w:rsid w:val="006A4CFA"/>
    <w:rsid w:val="006A6169"/>
    <w:rsid w:val="006A72FC"/>
    <w:rsid w:val="006A72FF"/>
    <w:rsid w:val="006A77E0"/>
    <w:rsid w:val="006A7DFB"/>
    <w:rsid w:val="006A7FA7"/>
    <w:rsid w:val="006B1CA8"/>
    <w:rsid w:val="006B2D75"/>
    <w:rsid w:val="006B2F3A"/>
    <w:rsid w:val="006B2F4B"/>
    <w:rsid w:val="006B32C2"/>
    <w:rsid w:val="006B3D51"/>
    <w:rsid w:val="006B40BF"/>
    <w:rsid w:val="006B433A"/>
    <w:rsid w:val="006B5608"/>
    <w:rsid w:val="006B6E8D"/>
    <w:rsid w:val="006B7933"/>
    <w:rsid w:val="006C0567"/>
    <w:rsid w:val="006C075F"/>
    <w:rsid w:val="006C0D84"/>
    <w:rsid w:val="006C13EB"/>
    <w:rsid w:val="006C1D2E"/>
    <w:rsid w:val="006C21B2"/>
    <w:rsid w:val="006C21B7"/>
    <w:rsid w:val="006C2372"/>
    <w:rsid w:val="006C29D3"/>
    <w:rsid w:val="006C3997"/>
    <w:rsid w:val="006C3E84"/>
    <w:rsid w:val="006C68CF"/>
    <w:rsid w:val="006C722E"/>
    <w:rsid w:val="006C7CF6"/>
    <w:rsid w:val="006D096E"/>
    <w:rsid w:val="006D10F1"/>
    <w:rsid w:val="006D11C7"/>
    <w:rsid w:val="006D11FA"/>
    <w:rsid w:val="006D21D3"/>
    <w:rsid w:val="006D23D2"/>
    <w:rsid w:val="006D2457"/>
    <w:rsid w:val="006D27E3"/>
    <w:rsid w:val="006D2CBD"/>
    <w:rsid w:val="006D3744"/>
    <w:rsid w:val="006D3B88"/>
    <w:rsid w:val="006D4283"/>
    <w:rsid w:val="006D478D"/>
    <w:rsid w:val="006D499B"/>
    <w:rsid w:val="006D4BE3"/>
    <w:rsid w:val="006D51E4"/>
    <w:rsid w:val="006D55CD"/>
    <w:rsid w:val="006D5C82"/>
    <w:rsid w:val="006D6055"/>
    <w:rsid w:val="006D60F6"/>
    <w:rsid w:val="006D636E"/>
    <w:rsid w:val="006D6D63"/>
    <w:rsid w:val="006D7062"/>
    <w:rsid w:val="006E03C4"/>
    <w:rsid w:val="006E05EB"/>
    <w:rsid w:val="006E0987"/>
    <w:rsid w:val="006E0B09"/>
    <w:rsid w:val="006E2BC6"/>
    <w:rsid w:val="006E31D1"/>
    <w:rsid w:val="006E3614"/>
    <w:rsid w:val="006E36BF"/>
    <w:rsid w:val="006E4013"/>
    <w:rsid w:val="006E40A7"/>
    <w:rsid w:val="006E43D8"/>
    <w:rsid w:val="006E4CBC"/>
    <w:rsid w:val="006E4CBF"/>
    <w:rsid w:val="006E5A69"/>
    <w:rsid w:val="006E696E"/>
    <w:rsid w:val="006E7301"/>
    <w:rsid w:val="006E7372"/>
    <w:rsid w:val="006E7D8B"/>
    <w:rsid w:val="006E7F7A"/>
    <w:rsid w:val="006F05BB"/>
    <w:rsid w:val="006F0A70"/>
    <w:rsid w:val="006F0F19"/>
    <w:rsid w:val="006F1A01"/>
    <w:rsid w:val="006F1DF0"/>
    <w:rsid w:val="006F2CAC"/>
    <w:rsid w:val="006F3C02"/>
    <w:rsid w:val="006F3C92"/>
    <w:rsid w:val="006F4BF7"/>
    <w:rsid w:val="006F52F4"/>
    <w:rsid w:val="006F5859"/>
    <w:rsid w:val="006F5E43"/>
    <w:rsid w:val="006F5F52"/>
    <w:rsid w:val="006F6979"/>
    <w:rsid w:val="006F6A01"/>
    <w:rsid w:val="006F6CB6"/>
    <w:rsid w:val="0070092D"/>
    <w:rsid w:val="0070118A"/>
    <w:rsid w:val="007017A7"/>
    <w:rsid w:val="00703FA8"/>
    <w:rsid w:val="007049CC"/>
    <w:rsid w:val="00705526"/>
    <w:rsid w:val="00705923"/>
    <w:rsid w:val="00705BF0"/>
    <w:rsid w:val="00705F72"/>
    <w:rsid w:val="007074E8"/>
    <w:rsid w:val="00711F1F"/>
    <w:rsid w:val="00712158"/>
    <w:rsid w:val="0071220C"/>
    <w:rsid w:val="00712C24"/>
    <w:rsid w:val="007134A5"/>
    <w:rsid w:val="00713D09"/>
    <w:rsid w:val="00714B53"/>
    <w:rsid w:val="00714E92"/>
    <w:rsid w:val="0071506B"/>
    <w:rsid w:val="00716C50"/>
    <w:rsid w:val="00717009"/>
    <w:rsid w:val="00717F1A"/>
    <w:rsid w:val="00720192"/>
    <w:rsid w:val="00720FD5"/>
    <w:rsid w:val="00721953"/>
    <w:rsid w:val="00721B28"/>
    <w:rsid w:val="007220CD"/>
    <w:rsid w:val="00722192"/>
    <w:rsid w:val="0072259D"/>
    <w:rsid w:val="0072279D"/>
    <w:rsid w:val="007229A6"/>
    <w:rsid w:val="00722BCE"/>
    <w:rsid w:val="00722DCE"/>
    <w:rsid w:val="00722E97"/>
    <w:rsid w:val="00723AA0"/>
    <w:rsid w:val="00724228"/>
    <w:rsid w:val="00725574"/>
    <w:rsid w:val="00725A90"/>
    <w:rsid w:val="00725CD2"/>
    <w:rsid w:val="007260DE"/>
    <w:rsid w:val="007279F4"/>
    <w:rsid w:val="00727CFC"/>
    <w:rsid w:val="00730190"/>
    <w:rsid w:val="00730940"/>
    <w:rsid w:val="00731372"/>
    <w:rsid w:val="007314DF"/>
    <w:rsid w:val="007315B6"/>
    <w:rsid w:val="00731700"/>
    <w:rsid w:val="00732116"/>
    <w:rsid w:val="007321DC"/>
    <w:rsid w:val="007324BF"/>
    <w:rsid w:val="007325B2"/>
    <w:rsid w:val="00732A6B"/>
    <w:rsid w:val="00733B8C"/>
    <w:rsid w:val="00733F29"/>
    <w:rsid w:val="00734364"/>
    <w:rsid w:val="007347FD"/>
    <w:rsid w:val="00734829"/>
    <w:rsid w:val="00734CF0"/>
    <w:rsid w:val="007354B2"/>
    <w:rsid w:val="00735E25"/>
    <w:rsid w:val="00736165"/>
    <w:rsid w:val="0073663C"/>
    <w:rsid w:val="007367AF"/>
    <w:rsid w:val="00737829"/>
    <w:rsid w:val="00737D13"/>
    <w:rsid w:val="00741136"/>
    <w:rsid w:val="0074138F"/>
    <w:rsid w:val="00742240"/>
    <w:rsid w:val="007426B7"/>
    <w:rsid w:val="00742AA0"/>
    <w:rsid w:val="0074317A"/>
    <w:rsid w:val="00743283"/>
    <w:rsid w:val="00743784"/>
    <w:rsid w:val="00744B6E"/>
    <w:rsid w:val="00744F2E"/>
    <w:rsid w:val="007458C4"/>
    <w:rsid w:val="00745F8E"/>
    <w:rsid w:val="0075006E"/>
    <w:rsid w:val="0075070B"/>
    <w:rsid w:val="00750975"/>
    <w:rsid w:val="00750A01"/>
    <w:rsid w:val="00751E61"/>
    <w:rsid w:val="007523DB"/>
    <w:rsid w:val="007526D1"/>
    <w:rsid w:val="00752747"/>
    <w:rsid w:val="00753A32"/>
    <w:rsid w:val="00754587"/>
    <w:rsid w:val="007545BE"/>
    <w:rsid w:val="00754B39"/>
    <w:rsid w:val="00755542"/>
    <w:rsid w:val="00755625"/>
    <w:rsid w:val="007568EF"/>
    <w:rsid w:val="007606EC"/>
    <w:rsid w:val="0076086D"/>
    <w:rsid w:val="007617A5"/>
    <w:rsid w:val="00762658"/>
    <w:rsid w:val="007629C4"/>
    <w:rsid w:val="0076399D"/>
    <w:rsid w:val="00764D4E"/>
    <w:rsid w:val="00764DE6"/>
    <w:rsid w:val="0076520C"/>
    <w:rsid w:val="007655EA"/>
    <w:rsid w:val="00765AD9"/>
    <w:rsid w:val="00765E8C"/>
    <w:rsid w:val="00766DD1"/>
    <w:rsid w:val="007670AF"/>
    <w:rsid w:val="00767B83"/>
    <w:rsid w:val="0077002E"/>
    <w:rsid w:val="00770616"/>
    <w:rsid w:val="00770801"/>
    <w:rsid w:val="00770AC8"/>
    <w:rsid w:val="00770C2F"/>
    <w:rsid w:val="00770DAD"/>
    <w:rsid w:val="00771840"/>
    <w:rsid w:val="00772195"/>
    <w:rsid w:val="007728F7"/>
    <w:rsid w:val="00773799"/>
    <w:rsid w:val="00774FFB"/>
    <w:rsid w:val="00776312"/>
    <w:rsid w:val="00782B86"/>
    <w:rsid w:val="0078343E"/>
    <w:rsid w:val="00783AD9"/>
    <w:rsid w:val="00783B16"/>
    <w:rsid w:val="00783E72"/>
    <w:rsid w:val="00784633"/>
    <w:rsid w:val="007848E3"/>
    <w:rsid w:val="00785E2C"/>
    <w:rsid w:val="007864C4"/>
    <w:rsid w:val="00786F18"/>
    <w:rsid w:val="00787013"/>
    <w:rsid w:val="0078730C"/>
    <w:rsid w:val="00787D88"/>
    <w:rsid w:val="00787F2F"/>
    <w:rsid w:val="00790DF5"/>
    <w:rsid w:val="0079156F"/>
    <w:rsid w:val="00792422"/>
    <w:rsid w:val="0079346A"/>
    <w:rsid w:val="00793715"/>
    <w:rsid w:val="007940E6"/>
    <w:rsid w:val="00794978"/>
    <w:rsid w:val="00795D4F"/>
    <w:rsid w:val="00796A22"/>
    <w:rsid w:val="00796B2A"/>
    <w:rsid w:val="00797706"/>
    <w:rsid w:val="0079788A"/>
    <w:rsid w:val="007979E5"/>
    <w:rsid w:val="007A0E6F"/>
    <w:rsid w:val="007A14FF"/>
    <w:rsid w:val="007A178E"/>
    <w:rsid w:val="007A4467"/>
    <w:rsid w:val="007A4919"/>
    <w:rsid w:val="007A4F61"/>
    <w:rsid w:val="007A50A3"/>
    <w:rsid w:val="007A5253"/>
    <w:rsid w:val="007A539A"/>
    <w:rsid w:val="007A607B"/>
    <w:rsid w:val="007A6452"/>
    <w:rsid w:val="007A6B8D"/>
    <w:rsid w:val="007A6EE0"/>
    <w:rsid w:val="007A72AC"/>
    <w:rsid w:val="007B062A"/>
    <w:rsid w:val="007B08B0"/>
    <w:rsid w:val="007B0C6A"/>
    <w:rsid w:val="007B0D66"/>
    <w:rsid w:val="007B1982"/>
    <w:rsid w:val="007B4706"/>
    <w:rsid w:val="007B4803"/>
    <w:rsid w:val="007B515F"/>
    <w:rsid w:val="007B55F4"/>
    <w:rsid w:val="007B5DCB"/>
    <w:rsid w:val="007B5E90"/>
    <w:rsid w:val="007B698C"/>
    <w:rsid w:val="007B6ECD"/>
    <w:rsid w:val="007B764D"/>
    <w:rsid w:val="007C030A"/>
    <w:rsid w:val="007C0B61"/>
    <w:rsid w:val="007C0B8E"/>
    <w:rsid w:val="007C0F7A"/>
    <w:rsid w:val="007C10C0"/>
    <w:rsid w:val="007C173C"/>
    <w:rsid w:val="007C1E16"/>
    <w:rsid w:val="007C21A9"/>
    <w:rsid w:val="007C24CD"/>
    <w:rsid w:val="007C3B14"/>
    <w:rsid w:val="007C3BB2"/>
    <w:rsid w:val="007C409E"/>
    <w:rsid w:val="007C40EB"/>
    <w:rsid w:val="007C4291"/>
    <w:rsid w:val="007C4568"/>
    <w:rsid w:val="007C5165"/>
    <w:rsid w:val="007C5DE4"/>
    <w:rsid w:val="007C61BF"/>
    <w:rsid w:val="007C637E"/>
    <w:rsid w:val="007C638C"/>
    <w:rsid w:val="007C6553"/>
    <w:rsid w:val="007C6E7F"/>
    <w:rsid w:val="007D07B5"/>
    <w:rsid w:val="007D1694"/>
    <w:rsid w:val="007D1963"/>
    <w:rsid w:val="007D2E20"/>
    <w:rsid w:val="007D4220"/>
    <w:rsid w:val="007D560E"/>
    <w:rsid w:val="007D587E"/>
    <w:rsid w:val="007D5A12"/>
    <w:rsid w:val="007D5B58"/>
    <w:rsid w:val="007D68F7"/>
    <w:rsid w:val="007E06F0"/>
    <w:rsid w:val="007E123E"/>
    <w:rsid w:val="007E132E"/>
    <w:rsid w:val="007E2D53"/>
    <w:rsid w:val="007E2E7D"/>
    <w:rsid w:val="007E2EBA"/>
    <w:rsid w:val="007E4686"/>
    <w:rsid w:val="007E476C"/>
    <w:rsid w:val="007E4D68"/>
    <w:rsid w:val="007E54BC"/>
    <w:rsid w:val="007E56DA"/>
    <w:rsid w:val="007E5F58"/>
    <w:rsid w:val="007E6AB2"/>
    <w:rsid w:val="007E6DF0"/>
    <w:rsid w:val="007E7146"/>
    <w:rsid w:val="007E7582"/>
    <w:rsid w:val="007E786F"/>
    <w:rsid w:val="007E7EC0"/>
    <w:rsid w:val="007F039D"/>
    <w:rsid w:val="007F0722"/>
    <w:rsid w:val="007F0DB7"/>
    <w:rsid w:val="007F1AB6"/>
    <w:rsid w:val="007F3336"/>
    <w:rsid w:val="007F3CA5"/>
    <w:rsid w:val="007F3CFB"/>
    <w:rsid w:val="007F44F1"/>
    <w:rsid w:val="007F56BA"/>
    <w:rsid w:val="007F5947"/>
    <w:rsid w:val="007F5B40"/>
    <w:rsid w:val="007F688A"/>
    <w:rsid w:val="007F6D3D"/>
    <w:rsid w:val="007F7353"/>
    <w:rsid w:val="007F73F6"/>
    <w:rsid w:val="00800203"/>
    <w:rsid w:val="00800279"/>
    <w:rsid w:val="0080044D"/>
    <w:rsid w:val="008009E9"/>
    <w:rsid w:val="0080167F"/>
    <w:rsid w:val="00801D46"/>
    <w:rsid w:val="00802137"/>
    <w:rsid w:val="0080270C"/>
    <w:rsid w:val="00802859"/>
    <w:rsid w:val="00802922"/>
    <w:rsid w:val="00802D03"/>
    <w:rsid w:val="00803CDB"/>
    <w:rsid w:val="00804235"/>
    <w:rsid w:val="0080443E"/>
    <w:rsid w:val="00804553"/>
    <w:rsid w:val="008048EC"/>
    <w:rsid w:val="00805663"/>
    <w:rsid w:val="008056DF"/>
    <w:rsid w:val="00805F14"/>
    <w:rsid w:val="008063D1"/>
    <w:rsid w:val="00806CAD"/>
    <w:rsid w:val="008074E0"/>
    <w:rsid w:val="00807B13"/>
    <w:rsid w:val="00807D9B"/>
    <w:rsid w:val="00811543"/>
    <w:rsid w:val="00816ECB"/>
    <w:rsid w:val="00817653"/>
    <w:rsid w:val="00817B03"/>
    <w:rsid w:val="00817C5D"/>
    <w:rsid w:val="00820551"/>
    <w:rsid w:val="00820F21"/>
    <w:rsid w:val="00821460"/>
    <w:rsid w:val="008216F4"/>
    <w:rsid w:val="00821736"/>
    <w:rsid w:val="0082291D"/>
    <w:rsid w:val="0082295C"/>
    <w:rsid w:val="008229B6"/>
    <w:rsid w:val="0082311B"/>
    <w:rsid w:val="008237ED"/>
    <w:rsid w:val="008238A1"/>
    <w:rsid w:val="00823EE1"/>
    <w:rsid w:val="00824754"/>
    <w:rsid w:val="008249D9"/>
    <w:rsid w:val="00824FDB"/>
    <w:rsid w:val="00825F60"/>
    <w:rsid w:val="0082709B"/>
    <w:rsid w:val="00830ED8"/>
    <w:rsid w:val="00831DC5"/>
    <w:rsid w:val="00834086"/>
    <w:rsid w:val="00834112"/>
    <w:rsid w:val="00834239"/>
    <w:rsid w:val="008360A6"/>
    <w:rsid w:val="00836FB0"/>
    <w:rsid w:val="0083779B"/>
    <w:rsid w:val="00837814"/>
    <w:rsid w:val="00837980"/>
    <w:rsid w:val="008403A8"/>
    <w:rsid w:val="00840D39"/>
    <w:rsid w:val="00841C4B"/>
    <w:rsid w:val="00842493"/>
    <w:rsid w:val="008428AF"/>
    <w:rsid w:val="00843048"/>
    <w:rsid w:val="008434B5"/>
    <w:rsid w:val="00844A22"/>
    <w:rsid w:val="00844B63"/>
    <w:rsid w:val="008450C6"/>
    <w:rsid w:val="008451AB"/>
    <w:rsid w:val="0084545D"/>
    <w:rsid w:val="008458DA"/>
    <w:rsid w:val="00845ADD"/>
    <w:rsid w:val="00845D33"/>
    <w:rsid w:val="00845FAE"/>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53CE"/>
    <w:rsid w:val="00857BD0"/>
    <w:rsid w:val="00860341"/>
    <w:rsid w:val="00860D84"/>
    <w:rsid w:val="0086219F"/>
    <w:rsid w:val="00862951"/>
    <w:rsid w:val="0086313C"/>
    <w:rsid w:val="00863300"/>
    <w:rsid w:val="00863EBE"/>
    <w:rsid w:val="008654B4"/>
    <w:rsid w:val="00865770"/>
    <w:rsid w:val="008663DB"/>
    <w:rsid w:val="0086662B"/>
    <w:rsid w:val="00866D69"/>
    <w:rsid w:val="0086786A"/>
    <w:rsid w:val="008679F4"/>
    <w:rsid w:val="00867A95"/>
    <w:rsid w:val="00867BB2"/>
    <w:rsid w:val="00870873"/>
    <w:rsid w:val="00871DB2"/>
    <w:rsid w:val="008733F4"/>
    <w:rsid w:val="0087370D"/>
    <w:rsid w:val="00874585"/>
    <w:rsid w:val="008746F9"/>
    <w:rsid w:val="00874BAF"/>
    <w:rsid w:val="00875471"/>
    <w:rsid w:val="008757AE"/>
    <w:rsid w:val="008767B2"/>
    <w:rsid w:val="00877250"/>
    <w:rsid w:val="008773BD"/>
    <w:rsid w:val="00877529"/>
    <w:rsid w:val="008775E2"/>
    <w:rsid w:val="00877A59"/>
    <w:rsid w:val="0088045A"/>
    <w:rsid w:val="008825CF"/>
    <w:rsid w:val="00883567"/>
    <w:rsid w:val="00884CD7"/>
    <w:rsid w:val="00884D2B"/>
    <w:rsid w:val="00884DE2"/>
    <w:rsid w:val="008853A1"/>
    <w:rsid w:val="00885551"/>
    <w:rsid w:val="00885844"/>
    <w:rsid w:val="00885FB2"/>
    <w:rsid w:val="008869EA"/>
    <w:rsid w:val="00886B1C"/>
    <w:rsid w:val="008876D6"/>
    <w:rsid w:val="00890444"/>
    <w:rsid w:val="00890B4A"/>
    <w:rsid w:val="00891C92"/>
    <w:rsid w:val="00893C44"/>
    <w:rsid w:val="00894FAA"/>
    <w:rsid w:val="00895145"/>
    <w:rsid w:val="00895383"/>
    <w:rsid w:val="008962AC"/>
    <w:rsid w:val="008962F0"/>
    <w:rsid w:val="00896AAF"/>
    <w:rsid w:val="00896F39"/>
    <w:rsid w:val="00897157"/>
    <w:rsid w:val="0089719E"/>
    <w:rsid w:val="008A0C9E"/>
    <w:rsid w:val="008A262C"/>
    <w:rsid w:val="008A2C3A"/>
    <w:rsid w:val="008A2DA2"/>
    <w:rsid w:val="008A3776"/>
    <w:rsid w:val="008A37DE"/>
    <w:rsid w:val="008A4249"/>
    <w:rsid w:val="008A434C"/>
    <w:rsid w:val="008A590D"/>
    <w:rsid w:val="008A6757"/>
    <w:rsid w:val="008A67EF"/>
    <w:rsid w:val="008A708D"/>
    <w:rsid w:val="008A71B3"/>
    <w:rsid w:val="008B006E"/>
    <w:rsid w:val="008B00BF"/>
    <w:rsid w:val="008B02F6"/>
    <w:rsid w:val="008B0A79"/>
    <w:rsid w:val="008B15BD"/>
    <w:rsid w:val="008B334A"/>
    <w:rsid w:val="008B36B5"/>
    <w:rsid w:val="008B4054"/>
    <w:rsid w:val="008B406D"/>
    <w:rsid w:val="008B4731"/>
    <w:rsid w:val="008B4823"/>
    <w:rsid w:val="008B4B06"/>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48B"/>
    <w:rsid w:val="008C364C"/>
    <w:rsid w:val="008C454D"/>
    <w:rsid w:val="008C479B"/>
    <w:rsid w:val="008C4B6E"/>
    <w:rsid w:val="008C58C6"/>
    <w:rsid w:val="008C6D70"/>
    <w:rsid w:val="008C6E7D"/>
    <w:rsid w:val="008C7442"/>
    <w:rsid w:val="008D0842"/>
    <w:rsid w:val="008D08C2"/>
    <w:rsid w:val="008D09A7"/>
    <w:rsid w:val="008D144D"/>
    <w:rsid w:val="008D15CE"/>
    <w:rsid w:val="008D16A1"/>
    <w:rsid w:val="008D2326"/>
    <w:rsid w:val="008D29E6"/>
    <w:rsid w:val="008D2A9D"/>
    <w:rsid w:val="008D2B36"/>
    <w:rsid w:val="008D2E5B"/>
    <w:rsid w:val="008D2E9E"/>
    <w:rsid w:val="008D30E7"/>
    <w:rsid w:val="008D3AA0"/>
    <w:rsid w:val="008D4143"/>
    <w:rsid w:val="008D47A2"/>
    <w:rsid w:val="008D56E1"/>
    <w:rsid w:val="008D61CF"/>
    <w:rsid w:val="008D6368"/>
    <w:rsid w:val="008D7097"/>
    <w:rsid w:val="008D72A4"/>
    <w:rsid w:val="008D7802"/>
    <w:rsid w:val="008D7C10"/>
    <w:rsid w:val="008E1CF0"/>
    <w:rsid w:val="008E1E33"/>
    <w:rsid w:val="008E2586"/>
    <w:rsid w:val="008E4B87"/>
    <w:rsid w:val="008E5484"/>
    <w:rsid w:val="008E5566"/>
    <w:rsid w:val="008E567C"/>
    <w:rsid w:val="008E5E4E"/>
    <w:rsid w:val="008E6946"/>
    <w:rsid w:val="008E6D90"/>
    <w:rsid w:val="008E75DF"/>
    <w:rsid w:val="008E7F85"/>
    <w:rsid w:val="008F0131"/>
    <w:rsid w:val="008F01E1"/>
    <w:rsid w:val="008F03F3"/>
    <w:rsid w:val="008F1265"/>
    <w:rsid w:val="008F1A60"/>
    <w:rsid w:val="008F38BC"/>
    <w:rsid w:val="008F3CD1"/>
    <w:rsid w:val="008F4E8F"/>
    <w:rsid w:val="008F590D"/>
    <w:rsid w:val="008F6082"/>
    <w:rsid w:val="008F6BDC"/>
    <w:rsid w:val="009000FE"/>
    <w:rsid w:val="00900EE2"/>
    <w:rsid w:val="0090119B"/>
    <w:rsid w:val="00901715"/>
    <w:rsid w:val="00901CA8"/>
    <w:rsid w:val="009036B0"/>
    <w:rsid w:val="009041DE"/>
    <w:rsid w:val="00904E3A"/>
    <w:rsid w:val="00905771"/>
    <w:rsid w:val="0090591F"/>
    <w:rsid w:val="00906E41"/>
    <w:rsid w:val="00910023"/>
    <w:rsid w:val="009106E1"/>
    <w:rsid w:val="00910E5D"/>
    <w:rsid w:val="0091173B"/>
    <w:rsid w:val="00911DF8"/>
    <w:rsid w:val="009122B7"/>
    <w:rsid w:val="009123BF"/>
    <w:rsid w:val="00913165"/>
    <w:rsid w:val="00913653"/>
    <w:rsid w:val="00913FCB"/>
    <w:rsid w:val="00914732"/>
    <w:rsid w:val="00915319"/>
    <w:rsid w:val="00916365"/>
    <w:rsid w:val="00916984"/>
    <w:rsid w:val="009169A6"/>
    <w:rsid w:val="00916CE1"/>
    <w:rsid w:val="00916D06"/>
    <w:rsid w:val="00916E88"/>
    <w:rsid w:val="0091741D"/>
    <w:rsid w:val="009177FC"/>
    <w:rsid w:val="00917E83"/>
    <w:rsid w:val="00920929"/>
    <w:rsid w:val="009209B9"/>
    <w:rsid w:val="009211B4"/>
    <w:rsid w:val="00921318"/>
    <w:rsid w:val="009215FC"/>
    <w:rsid w:val="00921E3E"/>
    <w:rsid w:val="00922622"/>
    <w:rsid w:val="00922BD7"/>
    <w:rsid w:val="0092360D"/>
    <w:rsid w:val="00923889"/>
    <w:rsid w:val="00923BF3"/>
    <w:rsid w:val="00924575"/>
    <w:rsid w:val="00924C42"/>
    <w:rsid w:val="009254A1"/>
    <w:rsid w:val="00926103"/>
    <w:rsid w:val="00926315"/>
    <w:rsid w:val="00926891"/>
    <w:rsid w:val="00926A82"/>
    <w:rsid w:val="00926FC6"/>
    <w:rsid w:val="009271C3"/>
    <w:rsid w:val="00930177"/>
    <w:rsid w:val="00930200"/>
    <w:rsid w:val="0093159E"/>
    <w:rsid w:val="00931BC1"/>
    <w:rsid w:val="00932B77"/>
    <w:rsid w:val="00932FB9"/>
    <w:rsid w:val="00933A82"/>
    <w:rsid w:val="00933B8B"/>
    <w:rsid w:val="00933DF3"/>
    <w:rsid w:val="009346B2"/>
    <w:rsid w:val="00934F81"/>
    <w:rsid w:val="009350F6"/>
    <w:rsid w:val="009357AD"/>
    <w:rsid w:val="009358CE"/>
    <w:rsid w:val="00935C30"/>
    <w:rsid w:val="00935F21"/>
    <w:rsid w:val="00936B57"/>
    <w:rsid w:val="009403C9"/>
    <w:rsid w:val="00940EB6"/>
    <w:rsid w:val="009416E9"/>
    <w:rsid w:val="00941865"/>
    <w:rsid w:val="00941B89"/>
    <w:rsid w:val="00941F0D"/>
    <w:rsid w:val="0094226F"/>
    <w:rsid w:val="00942293"/>
    <w:rsid w:val="0094281F"/>
    <w:rsid w:val="00942F6E"/>
    <w:rsid w:val="00943EB6"/>
    <w:rsid w:val="0094409A"/>
    <w:rsid w:val="009446F9"/>
    <w:rsid w:val="00945960"/>
    <w:rsid w:val="0094692E"/>
    <w:rsid w:val="00947A5F"/>
    <w:rsid w:val="009506FA"/>
    <w:rsid w:val="0095151D"/>
    <w:rsid w:val="00951E3C"/>
    <w:rsid w:val="0095211E"/>
    <w:rsid w:val="0095349F"/>
    <w:rsid w:val="009540DB"/>
    <w:rsid w:val="009544D1"/>
    <w:rsid w:val="009550C2"/>
    <w:rsid w:val="00955B88"/>
    <w:rsid w:val="00956482"/>
    <w:rsid w:val="009568EB"/>
    <w:rsid w:val="00956A85"/>
    <w:rsid w:val="00960A5D"/>
    <w:rsid w:val="00960E12"/>
    <w:rsid w:val="00961C7C"/>
    <w:rsid w:val="00961F09"/>
    <w:rsid w:val="00962035"/>
    <w:rsid w:val="009638FA"/>
    <w:rsid w:val="0096406E"/>
    <w:rsid w:val="00964454"/>
    <w:rsid w:val="00964725"/>
    <w:rsid w:val="00964853"/>
    <w:rsid w:val="00964A10"/>
    <w:rsid w:val="0096548C"/>
    <w:rsid w:val="0096562D"/>
    <w:rsid w:val="00965715"/>
    <w:rsid w:val="00965D06"/>
    <w:rsid w:val="00966B84"/>
    <w:rsid w:val="0096706D"/>
    <w:rsid w:val="00967573"/>
    <w:rsid w:val="00970C68"/>
    <w:rsid w:val="009725A4"/>
    <w:rsid w:val="00973F70"/>
    <w:rsid w:val="0097446E"/>
    <w:rsid w:val="00974B7A"/>
    <w:rsid w:val="00975F8B"/>
    <w:rsid w:val="00976197"/>
    <w:rsid w:val="0097692D"/>
    <w:rsid w:val="00976D4F"/>
    <w:rsid w:val="0097727C"/>
    <w:rsid w:val="009772E7"/>
    <w:rsid w:val="00977313"/>
    <w:rsid w:val="00977397"/>
    <w:rsid w:val="00977479"/>
    <w:rsid w:val="00977D3B"/>
    <w:rsid w:val="00977F2C"/>
    <w:rsid w:val="00980344"/>
    <w:rsid w:val="00981507"/>
    <w:rsid w:val="00981933"/>
    <w:rsid w:val="00981B23"/>
    <w:rsid w:val="00981CF1"/>
    <w:rsid w:val="00982725"/>
    <w:rsid w:val="00982D7B"/>
    <w:rsid w:val="00982F4B"/>
    <w:rsid w:val="00983170"/>
    <w:rsid w:val="00983B7E"/>
    <w:rsid w:val="009846A3"/>
    <w:rsid w:val="00984840"/>
    <w:rsid w:val="009849DA"/>
    <w:rsid w:val="0098541B"/>
    <w:rsid w:val="00985523"/>
    <w:rsid w:val="009879CD"/>
    <w:rsid w:val="00990358"/>
    <w:rsid w:val="00990480"/>
    <w:rsid w:val="00990E31"/>
    <w:rsid w:val="00991226"/>
    <w:rsid w:val="00992CE9"/>
    <w:rsid w:val="00993335"/>
    <w:rsid w:val="00995305"/>
    <w:rsid w:val="00995832"/>
    <w:rsid w:val="00995C1E"/>
    <w:rsid w:val="009960FB"/>
    <w:rsid w:val="009968E9"/>
    <w:rsid w:val="00996AAC"/>
    <w:rsid w:val="0099705B"/>
    <w:rsid w:val="00997B75"/>
    <w:rsid w:val="009A05CC"/>
    <w:rsid w:val="009A0DF5"/>
    <w:rsid w:val="009A1683"/>
    <w:rsid w:val="009A214D"/>
    <w:rsid w:val="009A2389"/>
    <w:rsid w:val="009A2660"/>
    <w:rsid w:val="009A26B6"/>
    <w:rsid w:val="009A2869"/>
    <w:rsid w:val="009A2BB2"/>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8F3"/>
    <w:rsid w:val="009B1D6F"/>
    <w:rsid w:val="009B22D6"/>
    <w:rsid w:val="009B2784"/>
    <w:rsid w:val="009B283C"/>
    <w:rsid w:val="009B30D9"/>
    <w:rsid w:val="009B5FE8"/>
    <w:rsid w:val="009B76F4"/>
    <w:rsid w:val="009B7AB2"/>
    <w:rsid w:val="009C01C5"/>
    <w:rsid w:val="009C0E36"/>
    <w:rsid w:val="009C1508"/>
    <w:rsid w:val="009C1A94"/>
    <w:rsid w:val="009C2D7B"/>
    <w:rsid w:val="009C3C68"/>
    <w:rsid w:val="009C4549"/>
    <w:rsid w:val="009C47BA"/>
    <w:rsid w:val="009C5E3D"/>
    <w:rsid w:val="009C63FD"/>
    <w:rsid w:val="009C65BC"/>
    <w:rsid w:val="009C7A66"/>
    <w:rsid w:val="009D01BF"/>
    <w:rsid w:val="009D12B5"/>
    <w:rsid w:val="009D16B4"/>
    <w:rsid w:val="009D28B2"/>
    <w:rsid w:val="009D2983"/>
    <w:rsid w:val="009D335B"/>
    <w:rsid w:val="009D5076"/>
    <w:rsid w:val="009D5861"/>
    <w:rsid w:val="009D6587"/>
    <w:rsid w:val="009D6A3B"/>
    <w:rsid w:val="009D6B23"/>
    <w:rsid w:val="009D6CFE"/>
    <w:rsid w:val="009D7255"/>
    <w:rsid w:val="009D743F"/>
    <w:rsid w:val="009D7B79"/>
    <w:rsid w:val="009D7DC0"/>
    <w:rsid w:val="009E045E"/>
    <w:rsid w:val="009E180E"/>
    <w:rsid w:val="009E28D5"/>
    <w:rsid w:val="009E3D45"/>
    <w:rsid w:val="009E521E"/>
    <w:rsid w:val="009E5C55"/>
    <w:rsid w:val="009E5E7B"/>
    <w:rsid w:val="009E6751"/>
    <w:rsid w:val="009E6D2E"/>
    <w:rsid w:val="009E7655"/>
    <w:rsid w:val="009E7C79"/>
    <w:rsid w:val="009F0079"/>
    <w:rsid w:val="009F008C"/>
    <w:rsid w:val="009F0AAD"/>
    <w:rsid w:val="009F0D1B"/>
    <w:rsid w:val="009F2352"/>
    <w:rsid w:val="009F24EB"/>
    <w:rsid w:val="009F276D"/>
    <w:rsid w:val="009F2D68"/>
    <w:rsid w:val="009F34E4"/>
    <w:rsid w:val="009F394F"/>
    <w:rsid w:val="009F43F8"/>
    <w:rsid w:val="009F5549"/>
    <w:rsid w:val="009F5B3D"/>
    <w:rsid w:val="009F5C48"/>
    <w:rsid w:val="00A002B0"/>
    <w:rsid w:val="00A00A68"/>
    <w:rsid w:val="00A00ACC"/>
    <w:rsid w:val="00A01D14"/>
    <w:rsid w:val="00A02B0E"/>
    <w:rsid w:val="00A02C24"/>
    <w:rsid w:val="00A02FAD"/>
    <w:rsid w:val="00A03632"/>
    <w:rsid w:val="00A03EE9"/>
    <w:rsid w:val="00A0484E"/>
    <w:rsid w:val="00A05806"/>
    <w:rsid w:val="00A058DF"/>
    <w:rsid w:val="00A059A2"/>
    <w:rsid w:val="00A06219"/>
    <w:rsid w:val="00A06976"/>
    <w:rsid w:val="00A104BB"/>
    <w:rsid w:val="00A11117"/>
    <w:rsid w:val="00A11182"/>
    <w:rsid w:val="00A11DC6"/>
    <w:rsid w:val="00A1363B"/>
    <w:rsid w:val="00A139C8"/>
    <w:rsid w:val="00A13CA3"/>
    <w:rsid w:val="00A13ED4"/>
    <w:rsid w:val="00A13EDB"/>
    <w:rsid w:val="00A13F40"/>
    <w:rsid w:val="00A13FDA"/>
    <w:rsid w:val="00A14A68"/>
    <w:rsid w:val="00A14BB7"/>
    <w:rsid w:val="00A14E57"/>
    <w:rsid w:val="00A14E96"/>
    <w:rsid w:val="00A15080"/>
    <w:rsid w:val="00A1641A"/>
    <w:rsid w:val="00A1660D"/>
    <w:rsid w:val="00A17707"/>
    <w:rsid w:val="00A20157"/>
    <w:rsid w:val="00A206A0"/>
    <w:rsid w:val="00A213F6"/>
    <w:rsid w:val="00A22485"/>
    <w:rsid w:val="00A23D81"/>
    <w:rsid w:val="00A24278"/>
    <w:rsid w:val="00A2474E"/>
    <w:rsid w:val="00A24890"/>
    <w:rsid w:val="00A24F44"/>
    <w:rsid w:val="00A25EBD"/>
    <w:rsid w:val="00A25FAD"/>
    <w:rsid w:val="00A2687F"/>
    <w:rsid w:val="00A2737E"/>
    <w:rsid w:val="00A3043F"/>
    <w:rsid w:val="00A315BF"/>
    <w:rsid w:val="00A31948"/>
    <w:rsid w:val="00A32864"/>
    <w:rsid w:val="00A3393F"/>
    <w:rsid w:val="00A3677C"/>
    <w:rsid w:val="00A36A78"/>
    <w:rsid w:val="00A371EE"/>
    <w:rsid w:val="00A37F75"/>
    <w:rsid w:val="00A404BD"/>
    <w:rsid w:val="00A409B1"/>
    <w:rsid w:val="00A40D99"/>
    <w:rsid w:val="00A40E08"/>
    <w:rsid w:val="00A415EB"/>
    <w:rsid w:val="00A417EA"/>
    <w:rsid w:val="00A41DD6"/>
    <w:rsid w:val="00A42A60"/>
    <w:rsid w:val="00A42C0D"/>
    <w:rsid w:val="00A42D8B"/>
    <w:rsid w:val="00A43DB9"/>
    <w:rsid w:val="00A45FE6"/>
    <w:rsid w:val="00A462C0"/>
    <w:rsid w:val="00A46385"/>
    <w:rsid w:val="00A469C2"/>
    <w:rsid w:val="00A47365"/>
    <w:rsid w:val="00A50480"/>
    <w:rsid w:val="00A50497"/>
    <w:rsid w:val="00A50DC2"/>
    <w:rsid w:val="00A516E2"/>
    <w:rsid w:val="00A520E8"/>
    <w:rsid w:val="00A5227F"/>
    <w:rsid w:val="00A5319C"/>
    <w:rsid w:val="00A53BEA"/>
    <w:rsid w:val="00A53DD7"/>
    <w:rsid w:val="00A54194"/>
    <w:rsid w:val="00A54827"/>
    <w:rsid w:val="00A54C03"/>
    <w:rsid w:val="00A5619B"/>
    <w:rsid w:val="00A56FFA"/>
    <w:rsid w:val="00A57574"/>
    <w:rsid w:val="00A57621"/>
    <w:rsid w:val="00A609CC"/>
    <w:rsid w:val="00A609DD"/>
    <w:rsid w:val="00A60AC5"/>
    <w:rsid w:val="00A60F4D"/>
    <w:rsid w:val="00A60FDB"/>
    <w:rsid w:val="00A622D9"/>
    <w:rsid w:val="00A62415"/>
    <w:rsid w:val="00A62A74"/>
    <w:rsid w:val="00A6336E"/>
    <w:rsid w:val="00A63514"/>
    <w:rsid w:val="00A6367C"/>
    <w:rsid w:val="00A63E14"/>
    <w:rsid w:val="00A63E3C"/>
    <w:rsid w:val="00A65BCB"/>
    <w:rsid w:val="00A661F2"/>
    <w:rsid w:val="00A662D4"/>
    <w:rsid w:val="00A6659F"/>
    <w:rsid w:val="00A6697B"/>
    <w:rsid w:val="00A66C1B"/>
    <w:rsid w:val="00A67009"/>
    <w:rsid w:val="00A67224"/>
    <w:rsid w:val="00A67313"/>
    <w:rsid w:val="00A6750E"/>
    <w:rsid w:val="00A707FF"/>
    <w:rsid w:val="00A7090A"/>
    <w:rsid w:val="00A71186"/>
    <w:rsid w:val="00A71A41"/>
    <w:rsid w:val="00A72220"/>
    <w:rsid w:val="00A7229B"/>
    <w:rsid w:val="00A737BB"/>
    <w:rsid w:val="00A7423F"/>
    <w:rsid w:val="00A74431"/>
    <w:rsid w:val="00A75215"/>
    <w:rsid w:val="00A755E8"/>
    <w:rsid w:val="00A75B27"/>
    <w:rsid w:val="00A76C6A"/>
    <w:rsid w:val="00A77233"/>
    <w:rsid w:val="00A77554"/>
    <w:rsid w:val="00A8051D"/>
    <w:rsid w:val="00A81086"/>
    <w:rsid w:val="00A81214"/>
    <w:rsid w:val="00A815AB"/>
    <w:rsid w:val="00A82212"/>
    <w:rsid w:val="00A8282B"/>
    <w:rsid w:val="00A83A37"/>
    <w:rsid w:val="00A83AAC"/>
    <w:rsid w:val="00A85130"/>
    <w:rsid w:val="00A85F21"/>
    <w:rsid w:val="00A86796"/>
    <w:rsid w:val="00A8759E"/>
    <w:rsid w:val="00A8793D"/>
    <w:rsid w:val="00A9000B"/>
    <w:rsid w:val="00A902E4"/>
    <w:rsid w:val="00A90B42"/>
    <w:rsid w:val="00A90EF4"/>
    <w:rsid w:val="00A9318E"/>
    <w:rsid w:val="00A934A6"/>
    <w:rsid w:val="00A9444C"/>
    <w:rsid w:val="00A94F6E"/>
    <w:rsid w:val="00A9569B"/>
    <w:rsid w:val="00A9574C"/>
    <w:rsid w:val="00A96CD7"/>
    <w:rsid w:val="00A97923"/>
    <w:rsid w:val="00AA0283"/>
    <w:rsid w:val="00AA05E1"/>
    <w:rsid w:val="00AA118D"/>
    <w:rsid w:val="00AA1651"/>
    <w:rsid w:val="00AA16F5"/>
    <w:rsid w:val="00AA245B"/>
    <w:rsid w:val="00AA2525"/>
    <w:rsid w:val="00AA322C"/>
    <w:rsid w:val="00AA4218"/>
    <w:rsid w:val="00AA4B12"/>
    <w:rsid w:val="00AA4DF4"/>
    <w:rsid w:val="00AA5AF3"/>
    <w:rsid w:val="00AA5E9B"/>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64E"/>
    <w:rsid w:val="00AC0800"/>
    <w:rsid w:val="00AC0DD4"/>
    <w:rsid w:val="00AC0F87"/>
    <w:rsid w:val="00AC12ED"/>
    <w:rsid w:val="00AC22F4"/>
    <w:rsid w:val="00AC39CD"/>
    <w:rsid w:val="00AC41FA"/>
    <w:rsid w:val="00AC4BBC"/>
    <w:rsid w:val="00AC4C98"/>
    <w:rsid w:val="00AC513C"/>
    <w:rsid w:val="00AC5161"/>
    <w:rsid w:val="00AC59AF"/>
    <w:rsid w:val="00AC5C2B"/>
    <w:rsid w:val="00AC63DD"/>
    <w:rsid w:val="00AC69F2"/>
    <w:rsid w:val="00AC6DE9"/>
    <w:rsid w:val="00AC6E53"/>
    <w:rsid w:val="00AC76C8"/>
    <w:rsid w:val="00AC7860"/>
    <w:rsid w:val="00AC7C48"/>
    <w:rsid w:val="00AC7FD7"/>
    <w:rsid w:val="00AD04BD"/>
    <w:rsid w:val="00AD04E6"/>
    <w:rsid w:val="00AD080B"/>
    <w:rsid w:val="00AD0E59"/>
    <w:rsid w:val="00AD1A09"/>
    <w:rsid w:val="00AD1F52"/>
    <w:rsid w:val="00AD23BF"/>
    <w:rsid w:val="00AD2A78"/>
    <w:rsid w:val="00AD2ACE"/>
    <w:rsid w:val="00AD2DE7"/>
    <w:rsid w:val="00AD2EF1"/>
    <w:rsid w:val="00AD32BE"/>
    <w:rsid w:val="00AD3551"/>
    <w:rsid w:val="00AD390A"/>
    <w:rsid w:val="00AD4C82"/>
    <w:rsid w:val="00AD4C84"/>
    <w:rsid w:val="00AD4C86"/>
    <w:rsid w:val="00AD58AE"/>
    <w:rsid w:val="00AD5BF5"/>
    <w:rsid w:val="00AD6E8C"/>
    <w:rsid w:val="00AD6EA3"/>
    <w:rsid w:val="00AD7973"/>
    <w:rsid w:val="00AD7EB6"/>
    <w:rsid w:val="00AD7FAF"/>
    <w:rsid w:val="00AE0882"/>
    <w:rsid w:val="00AE1138"/>
    <w:rsid w:val="00AE24D0"/>
    <w:rsid w:val="00AE34D7"/>
    <w:rsid w:val="00AE39EC"/>
    <w:rsid w:val="00AE3DC9"/>
    <w:rsid w:val="00AE3F83"/>
    <w:rsid w:val="00AE40C0"/>
    <w:rsid w:val="00AE439B"/>
    <w:rsid w:val="00AE6B53"/>
    <w:rsid w:val="00AE7042"/>
    <w:rsid w:val="00AE7795"/>
    <w:rsid w:val="00AF00AA"/>
    <w:rsid w:val="00AF07E8"/>
    <w:rsid w:val="00AF10EC"/>
    <w:rsid w:val="00AF2532"/>
    <w:rsid w:val="00AF2AB8"/>
    <w:rsid w:val="00AF3647"/>
    <w:rsid w:val="00AF376F"/>
    <w:rsid w:val="00AF3BD1"/>
    <w:rsid w:val="00AF3D54"/>
    <w:rsid w:val="00AF3DC5"/>
    <w:rsid w:val="00AF44CF"/>
    <w:rsid w:val="00AF59AA"/>
    <w:rsid w:val="00AF5BB5"/>
    <w:rsid w:val="00AF78C1"/>
    <w:rsid w:val="00AF7D55"/>
    <w:rsid w:val="00B00889"/>
    <w:rsid w:val="00B00971"/>
    <w:rsid w:val="00B00C29"/>
    <w:rsid w:val="00B00D63"/>
    <w:rsid w:val="00B0266F"/>
    <w:rsid w:val="00B04342"/>
    <w:rsid w:val="00B04D2E"/>
    <w:rsid w:val="00B07185"/>
    <w:rsid w:val="00B071FA"/>
    <w:rsid w:val="00B07351"/>
    <w:rsid w:val="00B07880"/>
    <w:rsid w:val="00B079E8"/>
    <w:rsid w:val="00B10F0B"/>
    <w:rsid w:val="00B1146D"/>
    <w:rsid w:val="00B11CDF"/>
    <w:rsid w:val="00B11F59"/>
    <w:rsid w:val="00B12780"/>
    <w:rsid w:val="00B12A38"/>
    <w:rsid w:val="00B137E4"/>
    <w:rsid w:val="00B13F04"/>
    <w:rsid w:val="00B145C7"/>
    <w:rsid w:val="00B14CA3"/>
    <w:rsid w:val="00B14CD7"/>
    <w:rsid w:val="00B14F45"/>
    <w:rsid w:val="00B16FAF"/>
    <w:rsid w:val="00B1700C"/>
    <w:rsid w:val="00B2058D"/>
    <w:rsid w:val="00B20A72"/>
    <w:rsid w:val="00B20D6D"/>
    <w:rsid w:val="00B21720"/>
    <w:rsid w:val="00B22A7E"/>
    <w:rsid w:val="00B237B6"/>
    <w:rsid w:val="00B23DC4"/>
    <w:rsid w:val="00B24307"/>
    <w:rsid w:val="00B24422"/>
    <w:rsid w:val="00B24B71"/>
    <w:rsid w:val="00B251B6"/>
    <w:rsid w:val="00B254F4"/>
    <w:rsid w:val="00B2552D"/>
    <w:rsid w:val="00B25D3E"/>
    <w:rsid w:val="00B25FEF"/>
    <w:rsid w:val="00B26595"/>
    <w:rsid w:val="00B30055"/>
    <w:rsid w:val="00B30372"/>
    <w:rsid w:val="00B307D1"/>
    <w:rsid w:val="00B31857"/>
    <w:rsid w:val="00B3249C"/>
    <w:rsid w:val="00B3263A"/>
    <w:rsid w:val="00B32F7A"/>
    <w:rsid w:val="00B337B5"/>
    <w:rsid w:val="00B34DA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44ED"/>
    <w:rsid w:val="00B445EE"/>
    <w:rsid w:val="00B445F3"/>
    <w:rsid w:val="00B44627"/>
    <w:rsid w:val="00B446DD"/>
    <w:rsid w:val="00B44775"/>
    <w:rsid w:val="00B45249"/>
    <w:rsid w:val="00B45E9D"/>
    <w:rsid w:val="00B46C02"/>
    <w:rsid w:val="00B46FAB"/>
    <w:rsid w:val="00B47AB5"/>
    <w:rsid w:val="00B500B3"/>
    <w:rsid w:val="00B51983"/>
    <w:rsid w:val="00B51E1C"/>
    <w:rsid w:val="00B52192"/>
    <w:rsid w:val="00B52CAF"/>
    <w:rsid w:val="00B52F1E"/>
    <w:rsid w:val="00B532B9"/>
    <w:rsid w:val="00B537D3"/>
    <w:rsid w:val="00B54BD3"/>
    <w:rsid w:val="00B54CD3"/>
    <w:rsid w:val="00B5702F"/>
    <w:rsid w:val="00B57CCC"/>
    <w:rsid w:val="00B613BF"/>
    <w:rsid w:val="00B61694"/>
    <w:rsid w:val="00B61C81"/>
    <w:rsid w:val="00B62BB4"/>
    <w:rsid w:val="00B62D99"/>
    <w:rsid w:val="00B63098"/>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2540"/>
    <w:rsid w:val="00B73024"/>
    <w:rsid w:val="00B734AF"/>
    <w:rsid w:val="00B73585"/>
    <w:rsid w:val="00B73AF0"/>
    <w:rsid w:val="00B73BBE"/>
    <w:rsid w:val="00B740B7"/>
    <w:rsid w:val="00B741E4"/>
    <w:rsid w:val="00B75C35"/>
    <w:rsid w:val="00B76452"/>
    <w:rsid w:val="00B76B7C"/>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795"/>
    <w:rsid w:val="00B85E33"/>
    <w:rsid w:val="00B86A03"/>
    <w:rsid w:val="00B90B15"/>
    <w:rsid w:val="00B92B94"/>
    <w:rsid w:val="00B9307A"/>
    <w:rsid w:val="00B953CE"/>
    <w:rsid w:val="00B9692A"/>
    <w:rsid w:val="00B96D7A"/>
    <w:rsid w:val="00B97FC1"/>
    <w:rsid w:val="00BA0282"/>
    <w:rsid w:val="00BA06BD"/>
    <w:rsid w:val="00BA0822"/>
    <w:rsid w:val="00BA0F37"/>
    <w:rsid w:val="00BA14BC"/>
    <w:rsid w:val="00BA1CC7"/>
    <w:rsid w:val="00BA25CF"/>
    <w:rsid w:val="00BA4933"/>
    <w:rsid w:val="00BA4CE3"/>
    <w:rsid w:val="00BA4E8F"/>
    <w:rsid w:val="00BA58DD"/>
    <w:rsid w:val="00BA5C6D"/>
    <w:rsid w:val="00BA66BB"/>
    <w:rsid w:val="00BA6AFF"/>
    <w:rsid w:val="00BA6CED"/>
    <w:rsid w:val="00BB0226"/>
    <w:rsid w:val="00BB0E44"/>
    <w:rsid w:val="00BB2034"/>
    <w:rsid w:val="00BB2147"/>
    <w:rsid w:val="00BB2C23"/>
    <w:rsid w:val="00BB2E5E"/>
    <w:rsid w:val="00BB485B"/>
    <w:rsid w:val="00BB4B5F"/>
    <w:rsid w:val="00BB5029"/>
    <w:rsid w:val="00BB5326"/>
    <w:rsid w:val="00BB55E1"/>
    <w:rsid w:val="00BB5EF0"/>
    <w:rsid w:val="00BB6529"/>
    <w:rsid w:val="00BB67F9"/>
    <w:rsid w:val="00BB6BE4"/>
    <w:rsid w:val="00BB7412"/>
    <w:rsid w:val="00BB796C"/>
    <w:rsid w:val="00BC08BB"/>
    <w:rsid w:val="00BC1089"/>
    <w:rsid w:val="00BC1B28"/>
    <w:rsid w:val="00BC21E5"/>
    <w:rsid w:val="00BC29D1"/>
    <w:rsid w:val="00BC509E"/>
    <w:rsid w:val="00BC5AB5"/>
    <w:rsid w:val="00BC5B40"/>
    <w:rsid w:val="00BC6094"/>
    <w:rsid w:val="00BC6385"/>
    <w:rsid w:val="00BC7F3E"/>
    <w:rsid w:val="00BD0097"/>
    <w:rsid w:val="00BD0812"/>
    <w:rsid w:val="00BD112A"/>
    <w:rsid w:val="00BD1A38"/>
    <w:rsid w:val="00BD1CCD"/>
    <w:rsid w:val="00BD24A1"/>
    <w:rsid w:val="00BD2A11"/>
    <w:rsid w:val="00BD2CE3"/>
    <w:rsid w:val="00BD2E00"/>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2DB7"/>
    <w:rsid w:val="00BE47CB"/>
    <w:rsid w:val="00BE6CE1"/>
    <w:rsid w:val="00BE6F7F"/>
    <w:rsid w:val="00BE70AE"/>
    <w:rsid w:val="00BE7D57"/>
    <w:rsid w:val="00BF002F"/>
    <w:rsid w:val="00BF0FDD"/>
    <w:rsid w:val="00BF27F5"/>
    <w:rsid w:val="00BF28E1"/>
    <w:rsid w:val="00BF2A8C"/>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E2"/>
    <w:rsid w:val="00C01881"/>
    <w:rsid w:val="00C01C3C"/>
    <w:rsid w:val="00C020B5"/>
    <w:rsid w:val="00C0255C"/>
    <w:rsid w:val="00C02F25"/>
    <w:rsid w:val="00C02FCC"/>
    <w:rsid w:val="00C0360A"/>
    <w:rsid w:val="00C044FB"/>
    <w:rsid w:val="00C050EC"/>
    <w:rsid w:val="00C056E6"/>
    <w:rsid w:val="00C065A6"/>
    <w:rsid w:val="00C0682E"/>
    <w:rsid w:val="00C0751B"/>
    <w:rsid w:val="00C10EEE"/>
    <w:rsid w:val="00C113B2"/>
    <w:rsid w:val="00C11527"/>
    <w:rsid w:val="00C12FE1"/>
    <w:rsid w:val="00C13413"/>
    <w:rsid w:val="00C13B28"/>
    <w:rsid w:val="00C14094"/>
    <w:rsid w:val="00C14431"/>
    <w:rsid w:val="00C14698"/>
    <w:rsid w:val="00C14A96"/>
    <w:rsid w:val="00C1546B"/>
    <w:rsid w:val="00C15538"/>
    <w:rsid w:val="00C15620"/>
    <w:rsid w:val="00C15FE5"/>
    <w:rsid w:val="00C16186"/>
    <w:rsid w:val="00C169D1"/>
    <w:rsid w:val="00C172BC"/>
    <w:rsid w:val="00C1738E"/>
    <w:rsid w:val="00C174C9"/>
    <w:rsid w:val="00C177FF"/>
    <w:rsid w:val="00C179F4"/>
    <w:rsid w:val="00C17BFD"/>
    <w:rsid w:val="00C17CD7"/>
    <w:rsid w:val="00C17F0A"/>
    <w:rsid w:val="00C20678"/>
    <w:rsid w:val="00C20DDC"/>
    <w:rsid w:val="00C212D7"/>
    <w:rsid w:val="00C212DD"/>
    <w:rsid w:val="00C21658"/>
    <w:rsid w:val="00C217F2"/>
    <w:rsid w:val="00C21F17"/>
    <w:rsid w:val="00C2230C"/>
    <w:rsid w:val="00C23622"/>
    <w:rsid w:val="00C24103"/>
    <w:rsid w:val="00C2527D"/>
    <w:rsid w:val="00C257FF"/>
    <w:rsid w:val="00C25D14"/>
    <w:rsid w:val="00C26190"/>
    <w:rsid w:val="00C26D4F"/>
    <w:rsid w:val="00C274F9"/>
    <w:rsid w:val="00C32144"/>
    <w:rsid w:val="00C3269C"/>
    <w:rsid w:val="00C33DE4"/>
    <w:rsid w:val="00C33F44"/>
    <w:rsid w:val="00C345F3"/>
    <w:rsid w:val="00C34C3D"/>
    <w:rsid w:val="00C36F07"/>
    <w:rsid w:val="00C37399"/>
    <w:rsid w:val="00C37B4B"/>
    <w:rsid w:val="00C40015"/>
    <w:rsid w:val="00C403D9"/>
    <w:rsid w:val="00C40793"/>
    <w:rsid w:val="00C40917"/>
    <w:rsid w:val="00C41511"/>
    <w:rsid w:val="00C41CF3"/>
    <w:rsid w:val="00C428AB"/>
    <w:rsid w:val="00C42B9F"/>
    <w:rsid w:val="00C42C8F"/>
    <w:rsid w:val="00C42D97"/>
    <w:rsid w:val="00C44E4D"/>
    <w:rsid w:val="00C4528C"/>
    <w:rsid w:val="00C460C8"/>
    <w:rsid w:val="00C47555"/>
    <w:rsid w:val="00C47E64"/>
    <w:rsid w:val="00C50292"/>
    <w:rsid w:val="00C50339"/>
    <w:rsid w:val="00C50FF6"/>
    <w:rsid w:val="00C51158"/>
    <w:rsid w:val="00C51839"/>
    <w:rsid w:val="00C523EE"/>
    <w:rsid w:val="00C52BDD"/>
    <w:rsid w:val="00C5330B"/>
    <w:rsid w:val="00C53984"/>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4DE9"/>
    <w:rsid w:val="00C650F9"/>
    <w:rsid w:val="00C6555C"/>
    <w:rsid w:val="00C661A3"/>
    <w:rsid w:val="00C66383"/>
    <w:rsid w:val="00C66D7E"/>
    <w:rsid w:val="00C66DD0"/>
    <w:rsid w:val="00C67127"/>
    <w:rsid w:val="00C67888"/>
    <w:rsid w:val="00C67CB0"/>
    <w:rsid w:val="00C67E87"/>
    <w:rsid w:val="00C702C0"/>
    <w:rsid w:val="00C706D2"/>
    <w:rsid w:val="00C70739"/>
    <w:rsid w:val="00C715B2"/>
    <w:rsid w:val="00C71970"/>
    <w:rsid w:val="00C71BDD"/>
    <w:rsid w:val="00C71CA2"/>
    <w:rsid w:val="00C71E49"/>
    <w:rsid w:val="00C71EFB"/>
    <w:rsid w:val="00C72A8C"/>
    <w:rsid w:val="00C72DEB"/>
    <w:rsid w:val="00C73B70"/>
    <w:rsid w:val="00C74463"/>
    <w:rsid w:val="00C74E87"/>
    <w:rsid w:val="00C75278"/>
    <w:rsid w:val="00C7555B"/>
    <w:rsid w:val="00C75676"/>
    <w:rsid w:val="00C756E1"/>
    <w:rsid w:val="00C75F56"/>
    <w:rsid w:val="00C75FFD"/>
    <w:rsid w:val="00C76148"/>
    <w:rsid w:val="00C774DF"/>
    <w:rsid w:val="00C77945"/>
    <w:rsid w:val="00C779F9"/>
    <w:rsid w:val="00C77D7A"/>
    <w:rsid w:val="00C80515"/>
    <w:rsid w:val="00C805B0"/>
    <w:rsid w:val="00C80AEF"/>
    <w:rsid w:val="00C82385"/>
    <w:rsid w:val="00C82537"/>
    <w:rsid w:val="00C825C0"/>
    <w:rsid w:val="00C82A95"/>
    <w:rsid w:val="00C83179"/>
    <w:rsid w:val="00C84B37"/>
    <w:rsid w:val="00C8557E"/>
    <w:rsid w:val="00C86D11"/>
    <w:rsid w:val="00C86E07"/>
    <w:rsid w:val="00C878B7"/>
    <w:rsid w:val="00C87C09"/>
    <w:rsid w:val="00C87F1F"/>
    <w:rsid w:val="00C9001B"/>
    <w:rsid w:val="00C906AB"/>
    <w:rsid w:val="00C92717"/>
    <w:rsid w:val="00C92AA4"/>
    <w:rsid w:val="00C93D27"/>
    <w:rsid w:val="00C9420D"/>
    <w:rsid w:val="00C95584"/>
    <w:rsid w:val="00C95F06"/>
    <w:rsid w:val="00C95FE7"/>
    <w:rsid w:val="00CA0A1B"/>
    <w:rsid w:val="00CA0DA2"/>
    <w:rsid w:val="00CA148D"/>
    <w:rsid w:val="00CA1F0E"/>
    <w:rsid w:val="00CA2768"/>
    <w:rsid w:val="00CA3548"/>
    <w:rsid w:val="00CA4527"/>
    <w:rsid w:val="00CA4623"/>
    <w:rsid w:val="00CA5C69"/>
    <w:rsid w:val="00CA5CB6"/>
    <w:rsid w:val="00CA6E06"/>
    <w:rsid w:val="00CA745D"/>
    <w:rsid w:val="00CB0630"/>
    <w:rsid w:val="00CB088B"/>
    <w:rsid w:val="00CB1A97"/>
    <w:rsid w:val="00CB1EDE"/>
    <w:rsid w:val="00CB3F01"/>
    <w:rsid w:val="00CB5544"/>
    <w:rsid w:val="00CB55B9"/>
    <w:rsid w:val="00CB5BC5"/>
    <w:rsid w:val="00CB70E3"/>
    <w:rsid w:val="00CB739C"/>
    <w:rsid w:val="00CB79FF"/>
    <w:rsid w:val="00CB7C47"/>
    <w:rsid w:val="00CB7D64"/>
    <w:rsid w:val="00CC0534"/>
    <w:rsid w:val="00CC0CA3"/>
    <w:rsid w:val="00CC0D16"/>
    <w:rsid w:val="00CC0DA3"/>
    <w:rsid w:val="00CC1D5D"/>
    <w:rsid w:val="00CC225E"/>
    <w:rsid w:val="00CC2827"/>
    <w:rsid w:val="00CC2998"/>
    <w:rsid w:val="00CC2A87"/>
    <w:rsid w:val="00CC2D31"/>
    <w:rsid w:val="00CC3FB1"/>
    <w:rsid w:val="00CC407F"/>
    <w:rsid w:val="00CC44F0"/>
    <w:rsid w:val="00CC4FEA"/>
    <w:rsid w:val="00CC5729"/>
    <w:rsid w:val="00CC650B"/>
    <w:rsid w:val="00CC6FF9"/>
    <w:rsid w:val="00CC73BF"/>
    <w:rsid w:val="00CC7B67"/>
    <w:rsid w:val="00CD00C6"/>
    <w:rsid w:val="00CD06AA"/>
    <w:rsid w:val="00CD1293"/>
    <w:rsid w:val="00CD1441"/>
    <w:rsid w:val="00CD1482"/>
    <w:rsid w:val="00CD1724"/>
    <w:rsid w:val="00CD246B"/>
    <w:rsid w:val="00CD29C2"/>
    <w:rsid w:val="00CD2DD8"/>
    <w:rsid w:val="00CD3BE4"/>
    <w:rsid w:val="00CD3C4F"/>
    <w:rsid w:val="00CD3DC5"/>
    <w:rsid w:val="00CD4304"/>
    <w:rsid w:val="00CD48D9"/>
    <w:rsid w:val="00CD5A86"/>
    <w:rsid w:val="00CD7A73"/>
    <w:rsid w:val="00CD7ADF"/>
    <w:rsid w:val="00CE04A7"/>
    <w:rsid w:val="00CE0A5F"/>
    <w:rsid w:val="00CE0E26"/>
    <w:rsid w:val="00CE1F5B"/>
    <w:rsid w:val="00CE2A53"/>
    <w:rsid w:val="00CE2DEB"/>
    <w:rsid w:val="00CE4539"/>
    <w:rsid w:val="00CE4670"/>
    <w:rsid w:val="00CE576C"/>
    <w:rsid w:val="00CE6F94"/>
    <w:rsid w:val="00CE743D"/>
    <w:rsid w:val="00CE7ABB"/>
    <w:rsid w:val="00CF0161"/>
    <w:rsid w:val="00CF1441"/>
    <w:rsid w:val="00CF182C"/>
    <w:rsid w:val="00CF18BD"/>
    <w:rsid w:val="00CF27BD"/>
    <w:rsid w:val="00CF2D67"/>
    <w:rsid w:val="00CF5964"/>
    <w:rsid w:val="00CF59AC"/>
    <w:rsid w:val="00CF687E"/>
    <w:rsid w:val="00CF7030"/>
    <w:rsid w:val="00CF715B"/>
    <w:rsid w:val="00CF73B0"/>
    <w:rsid w:val="00CF7D46"/>
    <w:rsid w:val="00D00597"/>
    <w:rsid w:val="00D00C2F"/>
    <w:rsid w:val="00D01386"/>
    <w:rsid w:val="00D0286B"/>
    <w:rsid w:val="00D0388B"/>
    <w:rsid w:val="00D04100"/>
    <w:rsid w:val="00D049D5"/>
    <w:rsid w:val="00D05138"/>
    <w:rsid w:val="00D0518F"/>
    <w:rsid w:val="00D06796"/>
    <w:rsid w:val="00D0747C"/>
    <w:rsid w:val="00D0785E"/>
    <w:rsid w:val="00D10737"/>
    <w:rsid w:val="00D10D4C"/>
    <w:rsid w:val="00D1124A"/>
    <w:rsid w:val="00D1158C"/>
    <w:rsid w:val="00D11D13"/>
    <w:rsid w:val="00D128EC"/>
    <w:rsid w:val="00D12CCF"/>
    <w:rsid w:val="00D13E26"/>
    <w:rsid w:val="00D14C6F"/>
    <w:rsid w:val="00D16094"/>
    <w:rsid w:val="00D16702"/>
    <w:rsid w:val="00D1781A"/>
    <w:rsid w:val="00D178BF"/>
    <w:rsid w:val="00D17A78"/>
    <w:rsid w:val="00D17E50"/>
    <w:rsid w:val="00D202FE"/>
    <w:rsid w:val="00D2233A"/>
    <w:rsid w:val="00D2239B"/>
    <w:rsid w:val="00D2286C"/>
    <w:rsid w:val="00D22AED"/>
    <w:rsid w:val="00D23264"/>
    <w:rsid w:val="00D23FF0"/>
    <w:rsid w:val="00D241B1"/>
    <w:rsid w:val="00D2581A"/>
    <w:rsid w:val="00D25AB8"/>
    <w:rsid w:val="00D262EE"/>
    <w:rsid w:val="00D276B2"/>
    <w:rsid w:val="00D27885"/>
    <w:rsid w:val="00D278CD"/>
    <w:rsid w:val="00D27E3C"/>
    <w:rsid w:val="00D27FD9"/>
    <w:rsid w:val="00D3071C"/>
    <w:rsid w:val="00D30F4F"/>
    <w:rsid w:val="00D317B3"/>
    <w:rsid w:val="00D3247E"/>
    <w:rsid w:val="00D32B2B"/>
    <w:rsid w:val="00D32B81"/>
    <w:rsid w:val="00D33620"/>
    <w:rsid w:val="00D33AFD"/>
    <w:rsid w:val="00D33B8F"/>
    <w:rsid w:val="00D342D6"/>
    <w:rsid w:val="00D3472B"/>
    <w:rsid w:val="00D34CB1"/>
    <w:rsid w:val="00D34E4F"/>
    <w:rsid w:val="00D35A42"/>
    <w:rsid w:val="00D35D20"/>
    <w:rsid w:val="00D35ECB"/>
    <w:rsid w:val="00D361C0"/>
    <w:rsid w:val="00D36D67"/>
    <w:rsid w:val="00D36E13"/>
    <w:rsid w:val="00D3722B"/>
    <w:rsid w:val="00D376E2"/>
    <w:rsid w:val="00D378FE"/>
    <w:rsid w:val="00D37FC1"/>
    <w:rsid w:val="00D41AE0"/>
    <w:rsid w:val="00D424A3"/>
    <w:rsid w:val="00D42B29"/>
    <w:rsid w:val="00D4389C"/>
    <w:rsid w:val="00D43FCF"/>
    <w:rsid w:val="00D4461F"/>
    <w:rsid w:val="00D45025"/>
    <w:rsid w:val="00D456BE"/>
    <w:rsid w:val="00D45A5D"/>
    <w:rsid w:val="00D4650C"/>
    <w:rsid w:val="00D475CD"/>
    <w:rsid w:val="00D50A08"/>
    <w:rsid w:val="00D50AD0"/>
    <w:rsid w:val="00D51851"/>
    <w:rsid w:val="00D52642"/>
    <w:rsid w:val="00D5369E"/>
    <w:rsid w:val="00D53A77"/>
    <w:rsid w:val="00D541DA"/>
    <w:rsid w:val="00D546BC"/>
    <w:rsid w:val="00D54752"/>
    <w:rsid w:val="00D55B19"/>
    <w:rsid w:val="00D561B2"/>
    <w:rsid w:val="00D56651"/>
    <w:rsid w:val="00D56719"/>
    <w:rsid w:val="00D575B5"/>
    <w:rsid w:val="00D57E25"/>
    <w:rsid w:val="00D601B7"/>
    <w:rsid w:val="00D6059D"/>
    <w:rsid w:val="00D61255"/>
    <w:rsid w:val="00D615EA"/>
    <w:rsid w:val="00D61F4B"/>
    <w:rsid w:val="00D6229B"/>
    <w:rsid w:val="00D62FC6"/>
    <w:rsid w:val="00D63721"/>
    <w:rsid w:val="00D63C1D"/>
    <w:rsid w:val="00D63FBE"/>
    <w:rsid w:val="00D6448F"/>
    <w:rsid w:val="00D64560"/>
    <w:rsid w:val="00D6567E"/>
    <w:rsid w:val="00D66791"/>
    <w:rsid w:val="00D66C76"/>
    <w:rsid w:val="00D67A8E"/>
    <w:rsid w:val="00D67A90"/>
    <w:rsid w:val="00D67B52"/>
    <w:rsid w:val="00D67D2E"/>
    <w:rsid w:val="00D70F4C"/>
    <w:rsid w:val="00D714BE"/>
    <w:rsid w:val="00D7177E"/>
    <w:rsid w:val="00D71A30"/>
    <w:rsid w:val="00D7211A"/>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48D"/>
    <w:rsid w:val="00D85834"/>
    <w:rsid w:val="00D8614B"/>
    <w:rsid w:val="00D86DA8"/>
    <w:rsid w:val="00D87DF3"/>
    <w:rsid w:val="00D9041B"/>
    <w:rsid w:val="00D905B9"/>
    <w:rsid w:val="00D905D2"/>
    <w:rsid w:val="00D90BA9"/>
    <w:rsid w:val="00D90D48"/>
    <w:rsid w:val="00D90E63"/>
    <w:rsid w:val="00D9166A"/>
    <w:rsid w:val="00D91BE4"/>
    <w:rsid w:val="00D91E66"/>
    <w:rsid w:val="00D93CB9"/>
    <w:rsid w:val="00D947FE"/>
    <w:rsid w:val="00D94BB3"/>
    <w:rsid w:val="00D95392"/>
    <w:rsid w:val="00D96F3C"/>
    <w:rsid w:val="00DA0B32"/>
    <w:rsid w:val="00DA0DEE"/>
    <w:rsid w:val="00DA1B78"/>
    <w:rsid w:val="00DA207C"/>
    <w:rsid w:val="00DA25AD"/>
    <w:rsid w:val="00DA358B"/>
    <w:rsid w:val="00DA361B"/>
    <w:rsid w:val="00DA39D7"/>
    <w:rsid w:val="00DA3FD8"/>
    <w:rsid w:val="00DA43F4"/>
    <w:rsid w:val="00DA5A19"/>
    <w:rsid w:val="00DA5C8C"/>
    <w:rsid w:val="00DA6449"/>
    <w:rsid w:val="00DA6EC4"/>
    <w:rsid w:val="00DB06F6"/>
    <w:rsid w:val="00DB1593"/>
    <w:rsid w:val="00DB1ADE"/>
    <w:rsid w:val="00DB1ECF"/>
    <w:rsid w:val="00DB207F"/>
    <w:rsid w:val="00DB2B8E"/>
    <w:rsid w:val="00DB32D5"/>
    <w:rsid w:val="00DB3E6A"/>
    <w:rsid w:val="00DB3EFC"/>
    <w:rsid w:val="00DB407E"/>
    <w:rsid w:val="00DB47DA"/>
    <w:rsid w:val="00DB4A13"/>
    <w:rsid w:val="00DB57B8"/>
    <w:rsid w:val="00DB5EC5"/>
    <w:rsid w:val="00DB60C0"/>
    <w:rsid w:val="00DB62A1"/>
    <w:rsid w:val="00DC0415"/>
    <w:rsid w:val="00DC072D"/>
    <w:rsid w:val="00DC0FD2"/>
    <w:rsid w:val="00DC1DBF"/>
    <w:rsid w:val="00DC20AC"/>
    <w:rsid w:val="00DC3B65"/>
    <w:rsid w:val="00DC42B4"/>
    <w:rsid w:val="00DC7303"/>
    <w:rsid w:val="00DC768A"/>
    <w:rsid w:val="00DC7B37"/>
    <w:rsid w:val="00DC7EF1"/>
    <w:rsid w:val="00DD11A3"/>
    <w:rsid w:val="00DD17A1"/>
    <w:rsid w:val="00DD186A"/>
    <w:rsid w:val="00DD1D4E"/>
    <w:rsid w:val="00DD204B"/>
    <w:rsid w:val="00DD226C"/>
    <w:rsid w:val="00DD27BF"/>
    <w:rsid w:val="00DD289D"/>
    <w:rsid w:val="00DD2927"/>
    <w:rsid w:val="00DD4633"/>
    <w:rsid w:val="00DD4B84"/>
    <w:rsid w:val="00DD51B1"/>
    <w:rsid w:val="00DD5694"/>
    <w:rsid w:val="00DD5C1B"/>
    <w:rsid w:val="00DD5CB4"/>
    <w:rsid w:val="00DD5F8D"/>
    <w:rsid w:val="00DD72B5"/>
    <w:rsid w:val="00DE0189"/>
    <w:rsid w:val="00DE0922"/>
    <w:rsid w:val="00DE1101"/>
    <w:rsid w:val="00DE1A1C"/>
    <w:rsid w:val="00DE1FA4"/>
    <w:rsid w:val="00DE25D2"/>
    <w:rsid w:val="00DE31D2"/>
    <w:rsid w:val="00DE3269"/>
    <w:rsid w:val="00DE3B9A"/>
    <w:rsid w:val="00DE4767"/>
    <w:rsid w:val="00DE4F6D"/>
    <w:rsid w:val="00DE57AB"/>
    <w:rsid w:val="00DE5B39"/>
    <w:rsid w:val="00DE608F"/>
    <w:rsid w:val="00DE686B"/>
    <w:rsid w:val="00DE70CE"/>
    <w:rsid w:val="00DE780F"/>
    <w:rsid w:val="00DE79FF"/>
    <w:rsid w:val="00DE7FB4"/>
    <w:rsid w:val="00DF0D1C"/>
    <w:rsid w:val="00DF0E19"/>
    <w:rsid w:val="00DF0E92"/>
    <w:rsid w:val="00DF115E"/>
    <w:rsid w:val="00DF156D"/>
    <w:rsid w:val="00DF193B"/>
    <w:rsid w:val="00DF19B9"/>
    <w:rsid w:val="00DF2AFA"/>
    <w:rsid w:val="00DF3238"/>
    <w:rsid w:val="00DF4946"/>
    <w:rsid w:val="00DF5DF4"/>
    <w:rsid w:val="00DF6237"/>
    <w:rsid w:val="00DF633D"/>
    <w:rsid w:val="00DF651B"/>
    <w:rsid w:val="00DF7DCD"/>
    <w:rsid w:val="00E00B30"/>
    <w:rsid w:val="00E00F90"/>
    <w:rsid w:val="00E0101F"/>
    <w:rsid w:val="00E01BC9"/>
    <w:rsid w:val="00E02009"/>
    <w:rsid w:val="00E021E2"/>
    <w:rsid w:val="00E03181"/>
    <w:rsid w:val="00E037A3"/>
    <w:rsid w:val="00E043B6"/>
    <w:rsid w:val="00E0444E"/>
    <w:rsid w:val="00E04E27"/>
    <w:rsid w:val="00E04EE2"/>
    <w:rsid w:val="00E059F3"/>
    <w:rsid w:val="00E06033"/>
    <w:rsid w:val="00E065D8"/>
    <w:rsid w:val="00E06AD5"/>
    <w:rsid w:val="00E06CF1"/>
    <w:rsid w:val="00E071EC"/>
    <w:rsid w:val="00E077FA"/>
    <w:rsid w:val="00E07894"/>
    <w:rsid w:val="00E07989"/>
    <w:rsid w:val="00E079DC"/>
    <w:rsid w:val="00E07D22"/>
    <w:rsid w:val="00E100EE"/>
    <w:rsid w:val="00E1015E"/>
    <w:rsid w:val="00E11312"/>
    <w:rsid w:val="00E119DE"/>
    <w:rsid w:val="00E11B67"/>
    <w:rsid w:val="00E11DAA"/>
    <w:rsid w:val="00E12D5F"/>
    <w:rsid w:val="00E131C6"/>
    <w:rsid w:val="00E132F1"/>
    <w:rsid w:val="00E13360"/>
    <w:rsid w:val="00E1374E"/>
    <w:rsid w:val="00E144D0"/>
    <w:rsid w:val="00E14744"/>
    <w:rsid w:val="00E14F17"/>
    <w:rsid w:val="00E15C5D"/>
    <w:rsid w:val="00E16D60"/>
    <w:rsid w:val="00E16D93"/>
    <w:rsid w:val="00E214C7"/>
    <w:rsid w:val="00E21DF3"/>
    <w:rsid w:val="00E22154"/>
    <w:rsid w:val="00E222E4"/>
    <w:rsid w:val="00E23283"/>
    <w:rsid w:val="00E24522"/>
    <w:rsid w:val="00E24625"/>
    <w:rsid w:val="00E2497B"/>
    <w:rsid w:val="00E24CDB"/>
    <w:rsid w:val="00E2556D"/>
    <w:rsid w:val="00E25B37"/>
    <w:rsid w:val="00E2618A"/>
    <w:rsid w:val="00E26885"/>
    <w:rsid w:val="00E26EC0"/>
    <w:rsid w:val="00E27EC5"/>
    <w:rsid w:val="00E27F4B"/>
    <w:rsid w:val="00E30972"/>
    <w:rsid w:val="00E30A94"/>
    <w:rsid w:val="00E30AE9"/>
    <w:rsid w:val="00E30B53"/>
    <w:rsid w:val="00E325A4"/>
    <w:rsid w:val="00E32B6E"/>
    <w:rsid w:val="00E339D4"/>
    <w:rsid w:val="00E33C72"/>
    <w:rsid w:val="00E34C27"/>
    <w:rsid w:val="00E358E3"/>
    <w:rsid w:val="00E35B58"/>
    <w:rsid w:val="00E36084"/>
    <w:rsid w:val="00E360E8"/>
    <w:rsid w:val="00E3732F"/>
    <w:rsid w:val="00E37CC1"/>
    <w:rsid w:val="00E37FC5"/>
    <w:rsid w:val="00E417C0"/>
    <w:rsid w:val="00E417CE"/>
    <w:rsid w:val="00E417D0"/>
    <w:rsid w:val="00E41A73"/>
    <w:rsid w:val="00E41B77"/>
    <w:rsid w:val="00E42E4B"/>
    <w:rsid w:val="00E436A2"/>
    <w:rsid w:val="00E439E1"/>
    <w:rsid w:val="00E4411B"/>
    <w:rsid w:val="00E443B1"/>
    <w:rsid w:val="00E449B4"/>
    <w:rsid w:val="00E45608"/>
    <w:rsid w:val="00E45B76"/>
    <w:rsid w:val="00E45B96"/>
    <w:rsid w:val="00E461E0"/>
    <w:rsid w:val="00E46295"/>
    <w:rsid w:val="00E46A8B"/>
    <w:rsid w:val="00E46C03"/>
    <w:rsid w:val="00E5081E"/>
    <w:rsid w:val="00E5197E"/>
    <w:rsid w:val="00E51B56"/>
    <w:rsid w:val="00E51B6B"/>
    <w:rsid w:val="00E52317"/>
    <w:rsid w:val="00E52738"/>
    <w:rsid w:val="00E52CCC"/>
    <w:rsid w:val="00E545F2"/>
    <w:rsid w:val="00E54659"/>
    <w:rsid w:val="00E55608"/>
    <w:rsid w:val="00E55610"/>
    <w:rsid w:val="00E56C24"/>
    <w:rsid w:val="00E5725D"/>
    <w:rsid w:val="00E605E3"/>
    <w:rsid w:val="00E606C6"/>
    <w:rsid w:val="00E6089E"/>
    <w:rsid w:val="00E60DBC"/>
    <w:rsid w:val="00E614B7"/>
    <w:rsid w:val="00E61A54"/>
    <w:rsid w:val="00E62B33"/>
    <w:rsid w:val="00E62F3B"/>
    <w:rsid w:val="00E63EE4"/>
    <w:rsid w:val="00E642E9"/>
    <w:rsid w:val="00E64BBD"/>
    <w:rsid w:val="00E64CBB"/>
    <w:rsid w:val="00E65263"/>
    <w:rsid w:val="00E654F9"/>
    <w:rsid w:val="00E65604"/>
    <w:rsid w:val="00E65E3A"/>
    <w:rsid w:val="00E66048"/>
    <w:rsid w:val="00E66958"/>
    <w:rsid w:val="00E67D4D"/>
    <w:rsid w:val="00E70769"/>
    <w:rsid w:val="00E70D1B"/>
    <w:rsid w:val="00E71EA8"/>
    <w:rsid w:val="00E721A8"/>
    <w:rsid w:val="00E724B2"/>
    <w:rsid w:val="00E728D4"/>
    <w:rsid w:val="00E73424"/>
    <w:rsid w:val="00E73AD6"/>
    <w:rsid w:val="00E74B8F"/>
    <w:rsid w:val="00E753EF"/>
    <w:rsid w:val="00E75780"/>
    <w:rsid w:val="00E75A51"/>
    <w:rsid w:val="00E75E31"/>
    <w:rsid w:val="00E75EFC"/>
    <w:rsid w:val="00E76168"/>
    <w:rsid w:val="00E767EE"/>
    <w:rsid w:val="00E8017F"/>
    <w:rsid w:val="00E80191"/>
    <w:rsid w:val="00E8096A"/>
    <w:rsid w:val="00E80A19"/>
    <w:rsid w:val="00E80EA8"/>
    <w:rsid w:val="00E818DE"/>
    <w:rsid w:val="00E81B54"/>
    <w:rsid w:val="00E828A5"/>
    <w:rsid w:val="00E830BA"/>
    <w:rsid w:val="00E83FEC"/>
    <w:rsid w:val="00E85379"/>
    <w:rsid w:val="00E85ADF"/>
    <w:rsid w:val="00E87E2B"/>
    <w:rsid w:val="00E90140"/>
    <w:rsid w:val="00E90524"/>
    <w:rsid w:val="00E90D0F"/>
    <w:rsid w:val="00E91641"/>
    <w:rsid w:val="00E916E6"/>
    <w:rsid w:val="00E91C3C"/>
    <w:rsid w:val="00E91CF0"/>
    <w:rsid w:val="00E91E00"/>
    <w:rsid w:val="00E91FB6"/>
    <w:rsid w:val="00E922FA"/>
    <w:rsid w:val="00E92D58"/>
    <w:rsid w:val="00E933DE"/>
    <w:rsid w:val="00E940BC"/>
    <w:rsid w:val="00E95069"/>
    <w:rsid w:val="00E95702"/>
    <w:rsid w:val="00E96496"/>
    <w:rsid w:val="00E97599"/>
    <w:rsid w:val="00E97F79"/>
    <w:rsid w:val="00EA00F2"/>
    <w:rsid w:val="00EA07A6"/>
    <w:rsid w:val="00EA0BFA"/>
    <w:rsid w:val="00EA10F0"/>
    <w:rsid w:val="00EA115E"/>
    <w:rsid w:val="00EA128B"/>
    <w:rsid w:val="00EA20A7"/>
    <w:rsid w:val="00EA2B2E"/>
    <w:rsid w:val="00EA304C"/>
    <w:rsid w:val="00EA32CA"/>
    <w:rsid w:val="00EA4424"/>
    <w:rsid w:val="00EA4D2E"/>
    <w:rsid w:val="00EA54BB"/>
    <w:rsid w:val="00EA5997"/>
    <w:rsid w:val="00EA5B76"/>
    <w:rsid w:val="00EA691C"/>
    <w:rsid w:val="00EA7BD1"/>
    <w:rsid w:val="00EB0CB9"/>
    <w:rsid w:val="00EB11EB"/>
    <w:rsid w:val="00EB19BC"/>
    <w:rsid w:val="00EB2628"/>
    <w:rsid w:val="00EB4729"/>
    <w:rsid w:val="00EB5668"/>
    <w:rsid w:val="00EB5CD7"/>
    <w:rsid w:val="00EB6095"/>
    <w:rsid w:val="00EB7DC1"/>
    <w:rsid w:val="00EC1009"/>
    <w:rsid w:val="00EC1E98"/>
    <w:rsid w:val="00EC24C6"/>
    <w:rsid w:val="00EC37E4"/>
    <w:rsid w:val="00EC3D94"/>
    <w:rsid w:val="00EC42D8"/>
    <w:rsid w:val="00EC42E8"/>
    <w:rsid w:val="00EC485E"/>
    <w:rsid w:val="00EC4C05"/>
    <w:rsid w:val="00EC4E55"/>
    <w:rsid w:val="00EC5978"/>
    <w:rsid w:val="00EC59E4"/>
    <w:rsid w:val="00EC6C08"/>
    <w:rsid w:val="00EC7037"/>
    <w:rsid w:val="00EC7050"/>
    <w:rsid w:val="00ED01C0"/>
    <w:rsid w:val="00ED0A54"/>
    <w:rsid w:val="00ED1478"/>
    <w:rsid w:val="00ED1518"/>
    <w:rsid w:val="00ED32ED"/>
    <w:rsid w:val="00ED4A3E"/>
    <w:rsid w:val="00ED4AAE"/>
    <w:rsid w:val="00ED4EC7"/>
    <w:rsid w:val="00ED5103"/>
    <w:rsid w:val="00ED6F8D"/>
    <w:rsid w:val="00ED74B7"/>
    <w:rsid w:val="00ED7708"/>
    <w:rsid w:val="00ED7774"/>
    <w:rsid w:val="00ED7E4E"/>
    <w:rsid w:val="00EE0407"/>
    <w:rsid w:val="00EE0ACE"/>
    <w:rsid w:val="00EE0DA2"/>
    <w:rsid w:val="00EE0E31"/>
    <w:rsid w:val="00EE1A3C"/>
    <w:rsid w:val="00EE248A"/>
    <w:rsid w:val="00EE257A"/>
    <w:rsid w:val="00EE269C"/>
    <w:rsid w:val="00EE3979"/>
    <w:rsid w:val="00EE3AC1"/>
    <w:rsid w:val="00EE42EB"/>
    <w:rsid w:val="00EE454C"/>
    <w:rsid w:val="00EE482D"/>
    <w:rsid w:val="00EE4DD6"/>
    <w:rsid w:val="00EE59C9"/>
    <w:rsid w:val="00EE6B5C"/>
    <w:rsid w:val="00EE7685"/>
    <w:rsid w:val="00EE7B4B"/>
    <w:rsid w:val="00EF06D8"/>
    <w:rsid w:val="00EF1814"/>
    <w:rsid w:val="00EF2183"/>
    <w:rsid w:val="00EF2501"/>
    <w:rsid w:val="00EF278F"/>
    <w:rsid w:val="00EF372D"/>
    <w:rsid w:val="00EF4223"/>
    <w:rsid w:val="00EF4898"/>
    <w:rsid w:val="00EF5E7E"/>
    <w:rsid w:val="00EF6880"/>
    <w:rsid w:val="00EF72ED"/>
    <w:rsid w:val="00EF73ED"/>
    <w:rsid w:val="00EF79D6"/>
    <w:rsid w:val="00F00263"/>
    <w:rsid w:val="00F010AE"/>
    <w:rsid w:val="00F014E3"/>
    <w:rsid w:val="00F019F0"/>
    <w:rsid w:val="00F027AB"/>
    <w:rsid w:val="00F03D45"/>
    <w:rsid w:val="00F0416C"/>
    <w:rsid w:val="00F046EF"/>
    <w:rsid w:val="00F04E9F"/>
    <w:rsid w:val="00F064C8"/>
    <w:rsid w:val="00F06C26"/>
    <w:rsid w:val="00F06ECB"/>
    <w:rsid w:val="00F07540"/>
    <w:rsid w:val="00F078BC"/>
    <w:rsid w:val="00F078C9"/>
    <w:rsid w:val="00F07BED"/>
    <w:rsid w:val="00F07EB8"/>
    <w:rsid w:val="00F11903"/>
    <w:rsid w:val="00F119BA"/>
    <w:rsid w:val="00F124B8"/>
    <w:rsid w:val="00F1284C"/>
    <w:rsid w:val="00F12D07"/>
    <w:rsid w:val="00F14032"/>
    <w:rsid w:val="00F14D97"/>
    <w:rsid w:val="00F15056"/>
    <w:rsid w:val="00F1514B"/>
    <w:rsid w:val="00F15529"/>
    <w:rsid w:val="00F15756"/>
    <w:rsid w:val="00F16161"/>
    <w:rsid w:val="00F161C5"/>
    <w:rsid w:val="00F16455"/>
    <w:rsid w:val="00F16AE6"/>
    <w:rsid w:val="00F16CA0"/>
    <w:rsid w:val="00F16D1B"/>
    <w:rsid w:val="00F17525"/>
    <w:rsid w:val="00F201DC"/>
    <w:rsid w:val="00F2080D"/>
    <w:rsid w:val="00F20C91"/>
    <w:rsid w:val="00F21C23"/>
    <w:rsid w:val="00F227D5"/>
    <w:rsid w:val="00F22FC7"/>
    <w:rsid w:val="00F23D3E"/>
    <w:rsid w:val="00F24505"/>
    <w:rsid w:val="00F247AB"/>
    <w:rsid w:val="00F251CA"/>
    <w:rsid w:val="00F2577D"/>
    <w:rsid w:val="00F26054"/>
    <w:rsid w:val="00F2674A"/>
    <w:rsid w:val="00F26B80"/>
    <w:rsid w:val="00F2795E"/>
    <w:rsid w:val="00F30097"/>
    <w:rsid w:val="00F304FB"/>
    <w:rsid w:val="00F30E1F"/>
    <w:rsid w:val="00F31A7F"/>
    <w:rsid w:val="00F3262F"/>
    <w:rsid w:val="00F328DF"/>
    <w:rsid w:val="00F32909"/>
    <w:rsid w:val="00F32D1B"/>
    <w:rsid w:val="00F3395D"/>
    <w:rsid w:val="00F33D7C"/>
    <w:rsid w:val="00F3506F"/>
    <w:rsid w:val="00F3584C"/>
    <w:rsid w:val="00F360FA"/>
    <w:rsid w:val="00F36933"/>
    <w:rsid w:val="00F3743B"/>
    <w:rsid w:val="00F37AB2"/>
    <w:rsid w:val="00F40218"/>
    <w:rsid w:val="00F41A2D"/>
    <w:rsid w:val="00F42947"/>
    <w:rsid w:val="00F44ABE"/>
    <w:rsid w:val="00F44ECE"/>
    <w:rsid w:val="00F44F36"/>
    <w:rsid w:val="00F45079"/>
    <w:rsid w:val="00F457B8"/>
    <w:rsid w:val="00F46924"/>
    <w:rsid w:val="00F4703C"/>
    <w:rsid w:val="00F47760"/>
    <w:rsid w:val="00F4797A"/>
    <w:rsid w:val="00F47E0B"/>
    <w:rsid w:val="00F47E8F"/>
    <w:rsid w:val="00F506A0"/>
    <w:rsid w:val="00F506C4"/>
    <w:rsid w:val="00F515E9"/>
    <w:rsid w:val="00F51694"/>
    <w:rsid w:val="00F51BAE"/>
    <w:rsid w:val="00F52AF7"/>
    <w:rsid w:val="00F52B8F"/>
    <w:rsid w:val="00F52BC7"/>
    <w:rsid w:val="00F53353"/>
    <w:rsid w:val="00F53C2E"/>
    <w:rsid w:val="00F542E7"/>
    <w:rsid w:val="00F54D1A"/>
    <w:rsid w:val="00F54D50"/>
    <w:rsid w:val="00F55BC8"/>
    <w:rsid w:val="00F56180"/>
    <w:rsid w:val="00F57570"/>
    <w:rsid w:val="00F57783"/>
    <w:rsid w:val="00F578D2"/>
    <w:rsid w:val="00F60303"/>
    <w:rsid w:val="00F6146C"/>
    <w:rsid w:val="00F61ECF"/>
    <w:rsid w:val="00F62027"/>
    <w:rsid w:val="00F63F4E"/>
    <w:rsid w:val="00F65EC8"/>
    <w:rsid w:val="00F669A4"/>
    <w:rsid w:val="00F66A7E"/>
    <w:rsid w:val="00F66E1B"/>
    <w:rsid w:val="00F7043F"/>
    <w:rsid w:val="00F70CFB"/>
    <w:rsid w:val="00F70E86"/>
    <w:rsid w:val="00F70F15"/>
    <w:rsid w:val="00F71D8F"/>
    <w:rsid w:val="00F73192"/>
    <w:rsid w:val="00F7401D"/>
    <w:rsid w:val="00F75D4E"/>
    <w:rsid w:val="00F7760A"/>
    <w:rsid w:val="00F77861"/>
    <w:rsid w:val="00F80659"/>
    <w:rsid w:val="00F8085A"/>
    <w:rsid w:val="00F8089A"/>
    <w:rsid w:val="00F8165A"/>
    <w:rsid w:val="00F8285C"/>
    <w:rsid w:val="00F82AE3"/>
    <w:rsid w:val="00F83B21"/>
    <w:rsid w:val="00F83E11"/>
    <w:rsid w:val="00F83EAB"/>
    <w:rsid w:val="00F84410"/>
    <w:rsid w:val="00F862DA"/>
    <w:rsid w:val="00F86357"/>
    <w:rsid w:val="00F86C18"/>
    <w:rsid w:val="00F86D3B"/>
    <w:rsid w:val="00F870FB"/>
    <w:rsid w:val="00F9114E"/>
    <w:rsid w:val="00F92AD8"/>
    <w:rsid w:val="00F93893"/>
    <w:rsid w:val="00F93B6E"/>
    <w:rsid w:val="00F94581"/>
    <w:rsid w:val="00F952FE"/>
    <w:rsid w:val="00F9551D"/>
    <w:rsid w:val="00F95818"/>
    <w:rsid w:val="00F9583D"/>
    <w:rsid w:val="00F965A3"/>
    <w:rsid w:val="00F9660B"/>
    <w:rsid w:val="00F97748"/>
    <w:rsid w:val="00F97D04"/>
    <w:rsid w:val="00F97EC9"/>
    <w:rsid w:val="00FA018B"/>
    <w:rsid w:val="00FA033D"/>
    <w:rsid w:val="00FA0479"/>
    <w:rsid w:val="00FA0815"/>
    <w:rsid w:val="00FA12E4"/>
    <w:rsid w:val="00FA14F4"/>
    <w:rsid w:val="00FA197F"/>
    <w:rsid w:val="00FA26BB"/>
    <w:rsid w:val="00FA2B5B"/>
    <w:rsid w:val="00FA2D8D"/>
    <w:rsid w:val="00FA475E"/>
    <w:rsid w:val="00FA4B5E"/>
    <w:rsid w:val="00FA5479"/>
    <w:rsid w:val="00FA5D50"/>
    <w:rsid w:val="00FA6524"/>
    <w:rsid w:val="00FA7424"/>
    <w:rsid w:val="00FA7A31"/>
    <w:rsid w:val="00FB050E"/>
    <w:rsid w:val="00FB121E"/>
    <w:rsid w:val="00FB1948"/>
    <w:rsid w:val="00FB1A10"/>
    <w:rsid w:val="00FB1B62"/>
    <w:rsid w:val="00FB1E72"/>
    <w:rsid w:val="00FB1FAD"/>
    <w:rsid w:val="00FB2A39"/>
    <w:rsid w:val="00FB313D"/>
    <w:rsid w:val="00FB376E"/>
    <w:rsid w:val="00FB3CEA"/>
    <w:rsid w:val="00FB42EF"/>
    <w:rsid w:val="00FB4F2D"/>
    <w:rsid w:val="00FB58E2"/>
    <w:rsid w:val="00FB5D41"/>
    <w:rsid w:val="00FB61B6"/>
    <w:rsid w:val="00FB71B4"/>
    <w:rsid w:val="00FB7BFD"/>
    <w:rsid w:val="00FB7C26"/>
    <w:rsid w:val="00FB7DE0"/>
    <w:rsid w:val="00FC03A9"/>
    <w:rsid w:val="00FC05AF"/>
    <w:rsid w:val="00FC0D5E"/>
    <w:rsid w:val="00FC1361"/>
    <w:rsid w:val="00FC1400"/>
    <w:rsid w:val="00FC179B"/>
    <w:rsid w:val="00FC2370"/>
    <w:rsid w:val="00FC26A4"/>
    <w:rsid w:val="00FC3827"/>
    <w:rsid w:val="00FC3A67"/>
    <w:rsid w:val="00FC3B36"/>
    <w:rsid w:val="00FC49FC"/>
    <w:rsid w:val="00FC4E8D"/>
    <w:rsid w:val="00FC52D9"/>
    <w:rsid w:val="00FC555C"/>
    <w:rsid w:val="00FC5CAD"/>
    <w:rsid w:val="00FC5E2D"/>
    <w:rsid w:val="00FC6A20"/>
    <w:rsid w:val="00FC7918"/>
    <w:rsid w:val="00FC7C3C"/>
    <w:rsid w:val="00FC7E35"/>
    <w:rsid w:val="00FD079E"/>
    <w:rsid w:val="00FD0897"/>
    <w:rsid w:val="00FD0BB6"/>
    <w:rsid w:val="00FD0EEE"/>
    <w:rsid w:val="00FD16C9"/>
    <w:rsid w:val="00FD1CEA"/>
    <w:rsid w:val="00FD1E5A"/>
    <w:rsid w:val="00FD2944"/>
    <w:rsid w:val="00FD2EE4"/>
    <w:rsid w:val="00FD3147"/>
    <w:rsid w:val="00FD31C5"/>
    <w:rsid w:val="00FD3D0F"/>
    <w:rsid w:val="00FD3E35"/>
    <w:rsid w:val="00FD4D77"/>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524C"/>
    <w:rsid w:val="00FE5457"/>
    <w:rsid w:val="00FE559F"/>
    <w:rsid w:val="00FE6BD4"/>
    <w:rsid w:val="00FE74DB"/>
    <w:rsid w:val="00FE74F3"/>
    <w:rsid w:val="00FE774E"/>
    <w:rsid w:val="00FE7CA6"/>
    <w:rsid w:val="00FF03C5"/>
    <w:rsid w:val="00FF0C91"/>
    <w:rsid w:val="00FF2C92"/>
    <w:rsid w:val="00FF32F3"/>
    <w:rsid w:val="00FF3EBB"/>
    <w:rsid w:val="00FF452A"/>
    <w:rsid w:val="00FF5981"/>
    <w:rsid w:val="00FF60BD"/>
    <w:rsid w:val="00FF614C"/>
    <w:rsid w:val="00FF61DE"/>
    <w:rsid w:val="00FF6871"/>
    <w:rsid w:val="00FF772B"/>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618031487">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 w:id="1557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ndrew.redding@bradfor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ecure/CMSPage.aspx?mid=190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w.redding@bradford.gov.uk" TargetMode="External"/><Relationship Id="rId5" Type="http://schemas.openxmlformats.org/officeDocument/2006/relationships/settings" Target="settings.xml"/><Relationship Id="rId15" Type="http://schemas.openxmlformats.org/officeDocument/2006/relationships/hyperlink" Target="https://bso.bradford.gov.uk/content/send-documentation" TargetMode="External"/><Relationship Id="rId10" Type="http://schemas.openxmlformats.org/officeDocument/2006/relationships/image" Target="cid:image003.jpg@01D2DACB.7DFC79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3F17-0EC7-40D5-886A-934723EB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38</Pages>
  <Words>15057</Words>
  <Characters>77442</Characters>
  <Application>Microsoft Office Word</Application>
  <DocSecurity>0</DocSecurity>
  <Lines>645</Lines>
  <Paragraphs>184</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92315</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creator>andrew.redding</dc:creator>
  <cp:lastModifiedBy>Andrew Redding</cp:lastModifiedBy>
  <cp:revision>117</cp:revision>
  <cp:lastPrinted>2014-10-06T11:44:00Z</cp:lastPrinted>
  <dcterms:created xsi:type="dcterms:W3CDTF">2019-11-28T15:34:00Z</dcterms:created>
  <dcterms:modified xsi:type="dcterms:W3CDTF">2019-12-12T14:37:00Z</dcterms:modified>
</cp:coreProperties>
</file>