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851" w:rsidRDefault="006F411F" w:rsidP="00E74865">
      <w:pPr>
        <w:jc w:val="center"/>
        <w:rPr>
          <w:sz w:val="24"/>
        </w:rPr>
      </w:pPr>
      <w:r w:rsidRPr="006F411F">
        <w:rPr>
          <w:sz w:val="24"/>
        </w:rPr>
        <w:t>EHCP Top Up Funding from April 2020</w:t>
      </w:r>
    </w:p>
    <w:p w:rsidR="00CC7B3E" w:rsidRPr="006F411F" w:rsidRDefault="00CC7B3E" w:rsidP="00E74865">
      <w:pPr>
        <w:jc w:val="center"/>
        <w:rPr>
          <w:sz w:val="24"/>
        </w:rPr>
      </w:pPr>
      <w:bookmarkStart w:id="0" w:name="_GoBack"/>
      <w:bookmarkEnd w:id="0"/>
    </w:p>
    <w:p w:rsidR="006F411F" w:rsidRPr="00A746F8" w:rsidRDefault="00E83C4F" w:rsidP="00A746F8">
      <w:pPr>
        <w:jc w:val="both"/>
        <w:rPr>
          <w:rFonts w:cs="Arial"/>
          <w:sz w:val="24"/>
          <w:szCs w:val="24"/>
        </w:rPr>
      </w:pPr>
      <w:r w:rsidRPr="00A746F8">
        <w:rPr>
          <w:rFonts w:cs="Arial"/>
          <w:sz w:val="24"/>
          <w:szCs w:val="24"/>
        </w:rPr>
        <w:t>The new banding model takes a provision-mapping based approach. The model is built on ‘notional assumptions’ about the proportion of additional support given to an EHCP, with this support split between bespoke time and time in smaller groups. This is a theoretical model and it must be stressed that it will be for the Panel to determine the volume and type of support for an individual EHCP and to then place the EHCP into the ’band of best fit’</w:t>
      </w:r>
    </w:p>
    <w:p w:rsidR="00E74865" w:rsidRDefault="00E74865" w:rsidP="00E74865">
      <w:pPr>
        <w:jc w:val="both"/>
        <w:rPr>
          <w:rFonts w:cs="Arial"/>
          <w:sz w:val="24"/>
          <w:szCs w:val="24"/>
        </w:rPr>
      </w:pPr>
      <w:r w:rsidRPr="00E74865">
        <w:rPr>
          <w:rFonts w:cs="Arial"/>
          <w:sz w:val="24"/>
          <w:szCs w:val="24"/>
        </w:rPr>
        <w:t>Each EHCP will be funded at the band value that provides the closest fit for meeting the cost of the needs of the child or young person</w:t>
      </w:r>
      <w:r w:rsidR="00CC7B3E">
        <w:rPr>
          <w:rFonts w:cs="Arial"/>
          <w:sz w:val="24"/>
          <w:szCs w:val="24"/>
        </w:rPr>
        <w:t xml:space="preserve"> as outlined in the EHCP Plan</w:t>
      </w:r>
      <w:r w:rsidRPr="00E74865">
        <w:rPr>
          <w:rFonts w:cs="Arial"/>
          <w:sz w:val="24"/>
          <w:szCs w:val="24"/>
        </w:rPr>
        <w:t xml:space="preserve">. In the new model, the closest fit may also be found by combining (‘stacking’) more than one band value. </w:t>
      </w:r>
    </w:p>
    <w:p w:rsidR="00E83C4F" w:rsidRDefault="00E83C4F" w:rsidP="00E74865">
      <w:pPr>
        <w:jc w:val="both"/>
        <w:rPr>
          <w:rFonts w:cs="Arial"/>
          <w:sz w:val="24"/>
          <w:szCs w:val="24"/>
        </w:rPr>
      </w:pPr>
    </w:p>
    <w:tbl>
      <w:tblPr>
        <w:tblStyle w:val="TableGrid"/>
        <w:tblW w:w="9338" w:type="dxa"/>
        <w:tblLook w:val="04A0" w:firstRow="1" w:lastRow="0" w:firstColumn="1" w:lastColumn="0" w:noHBand="0" w:noVBand="1"/>
      </w:tblPr>
      <w:tblGrid>
        <w:gridCol w:w="2330"/>
        <w:gridCol w:w="2352"/>
        <w:gridCol w:w="2332"/>
        <w:gridCol w:w="2324"/>
      </w:tblGrid>
      <w:tr w:rsidR="00E83C4F" w:rsidRPr="006F411F" w:rsidTr="00054B40">
        <w:trPr>
          <w:trHeight w:val="1350"/>
        </w:trPr>
        <w:tc>
          <w:tcPr>
            <w:tcW w:w="2330" w:type="dxa"/>
            <w:vAlign w:val="center"/>
          </w:tcPr>
          <w:p w:rsidR="00E83C4F" w:rsidRPr="006F411F" w:rsidRDefault="00E83C4F" w:rsidP="00054B40">
            <w:pPr>
              <w:spacing w:after="200" w:line="276" w:lineRule="auto"/>
              <w:jc w:val="center"/>
              <w:rPr>
                <w:rFonts w:asciiTheme="minorHAnsi" w:hAnsiTheme="minorHAnsi" w:cstheme="minorBidi"/>
                <w:sz w:val="24"/>
                <w:szCs w:val="22"/>
              </w:rPr>
            </w:pPr>
          </w:p>
        </w:tc>
        <w:tc>
          <w:tcPr>
            <w:tcW w:w="2352" w:type="dxa"/>
            <w:vAlign w:val="center"/>
          </w:tcPr>
          <w:p w:rsidR="00E83C4F" w:rsidRPr="006F411F" w:rsidRDefault="00E83C4F" w:rsidP="00054B40">
            <w:pPr>
              <w:spacing w:after="200" w:line="276" w:lineRule="auto"/>
              <w:jc w:val="center"/>
              <w:rPr>
                <w:rFonts w:asciiTheme="minorHAnsi" w:hAnsiTheme="minorHAnsi" w:cstheme="minorBidi"/>
                <w:sz w:val="24"/>
                <w:szCs w:val="22"/>
              </w:rPr>
            </w:pPr>
            <w:r w:rsidRPr="006F411F">
              <w:rPr>
                <w:rFonts w:asciiTheme="minorHAnsi" w:hAnsiTheme="minorHAnsi" w:cstheme="minorBidi"/>
                <w:sz w:val="24"/>
                <w:szCs w:val="22"/>
              </w:rPr>
              <w:t>Proposed Top Up Value at  April 2020</w:t>
            </w:r>
          </w:p>
        </w:tc>
        <w:tc>
          <w:tcPr>
            <w:tcW w:w="2332" w:type="dxa"/>
            <w:vAlign w:val="center"/>
          </w:tcPr>
          <w:p w:rsidR="00E83C4F" w:rsidRPr="006F411F" w:rsidRDefault="00E83C4F" w:rsidP="00054B40">
            <w:pPr>
              <w:spacing w:after="200" w:line="276" w:lineRule="auto"/>
              <w:jc w:val="center"/>
              <w:rPr>
                <w:rFonts w:asciiTheme="minorHAnsi" w:hAnsiTheme="minorHAnsi" w:cstheme="minorBidi"/>
                <w:sz w:val="24"/>
                <w:szCs w:val="22"/>
              </w:rPr>
            </w:pPr>
            <w:r w:rsidRPr="006F411F">
              <w:rPr>
                <w:rFonts w:asciiTheme="minorHAnsi" w:hAnsiTheme="minorHAnsi" w:cstheme="minorBidi"/>
                <w:sz w:val="24"/>
                <w:szCs w:val="22"/>
              </w:rPr>
              <w:t>Element 2 Value FTE the school / provider adds</w:t>
            </w:r>
          </w:p>
        </w:tc>
        <w:tc>
          <w:tcPr>
            <w:tcW w:w="2324" w:type="dxa"/>
            <w:vAlign w:val="center"/>
          </w:tcPr>
          <w:p w:rsidR="00E83C4F" w:rsidRPr="006F411F" w:rsidRDefault="00E83C4F" w:rsidP="00054B40">
            <w:pPr>
              <w:spacing w:after="200" w:line="276" w:lineRule="auto"/>
              <w:jc w:val="center"/>
              <w:rPr>
                <w:rFonts w:asciiTheme="minorHAnsi" w:hAnsiTheme="minorHAnsi" w:cstheme="minorBidi"/>
                <w:sz w:val="24"/>
                <w:szCs w:val="22"/>
              </w:rPr>
            </w:pPr>
            <w:r w:rsidRPr="006F411F">
              <w:rPr>
                <w:rFonts w:asciiTheme="minorHAnsi" w:hAnsiTheme="minorHAnsi" w:cstheme="minorBidi"/>
                <w:sz w:val="24"/>
                <w:szCs w:val="22"/>
              </w:rPr>
              <w:t>Total Value of Funding to support the EHCP</w:t>
            </w:r>
          </w:p>
        </w:tc>
      </w:tr>
      <w:tr w:rsidR="00E83C4F" w:rsidRPr="006F411F" w:rsidTr="00054B40">
        <w:trPr>
          <w:trHeight w:val="358"/>
        </w:trPr>
        <w:tc>
          <w:tcPr>
            <w:tcW w:w="2330" w:type="dxa"/>
            <w:vAlign w:val="center"/>
          </w:tcPr>
          <w:p w:rsidR="00E83C4F" w:rsidRPr="006F411F" w:rsidRDefault="00E83C4F" w:rsidP="00054B40">
            <w:pPr>
              <w:spacing w:line="276" w:lineRule="auto"/>
              <w:jc w:val="center"/>
              <w:rPr>
                <w:rFonts w:asciiTheme="minorHAnsi" w:hAnsiTheme="minorHAnsi" w:cstheme="minorBidi"/>
                <w:sz w:val="24"/>
                <w:szCs w:val="22"/>
              </w:rPr>
            </w:pPr>
            <w:r w:rsidRPr="006F411F">
              <w:rPr>
                <w:rFonts w:asciiTheme="minorHAnsi" w:hAnsiTheme="minorHAnsi" w:cstheme="minorBidi"/>
                <w:sz w:val="24"/>
                <w:szCs w:val="22"/>
              </w:rPr>
              <w:t>Band 3 Low (3L)</w:t>
            </w:r>
          </w:p>
        </w:tc>
        <w:tc>
          <w:tcPr>
            <w:tcW w:w="2352" w:type="dxa"/>
            <w:vAlign w:val="center"/>
          </w:tcPr>
          <w:p w:rsidR="00E83C4F" w:rsidRPr="006F411F" w:rsidRDefault="00E83C4F" w:rsidP="00054B40">
            <w:pPr>
              <w:pStyle w:val="ListParagraph"/>
              <w:ind w:left="0"/>
              <w:jc w:val="center"/>
              <w:rPr>
                <w:rFonts w:asciiTheme="minorHAnsi" w:eastAsiaTheme="minorHAnsi" w:hAnsiTheme="minorHAnsi" w:cstheme="minorBidi"/>
                <w:sz w:val="24"/>
                <w:szCs w:val="22"/>
                <w:lang w:eastAsia="en-US"/>
              </w:rPr>
            </w:pPr>
            <w:r w:rsidRPr="006F411F">
              <w:rPr>
                <w:rFonts w:asciiTheme="minorHAnsi" w:eastAsiaTheme="minorHAnsi" w:hAnsiTheme="minorHAnsi" w:cstheme="minorBidi"/>
                <w:sz w:val="24"/>
                <w:szCs w:val="22"/>
                <w:lang w:eastAsia="en-US"/>
              </w:rPr>
              <w:t>£1,670</w:t>
            </w:r>
          </w:p>
        </w:tc>
        <w:tc>
          <w:tcPr>
            <w:tcW w:w="2332" w:type="dxa"/>
            <w:vAlign w:val="bottom"/>
          </w:tcPr>
          <w:p w:rsidR="00E83C4F" w:rsidRPr="006F411F" w:rsidRDefault="00E83C4F" w:rsidP="00054B40">
            <w:pPr>
              <w:spacing w:line="276" w:lineRule="auto"/>
              <w:jc w:val="center"/>
              <w:rPr>
                <w:rFonts w:asciiTheme="minorHAnsi" w:hAnsiTheme="minorHAnsi" w:cstheme="minorBidi"/>
                <w:sz w:val="24"/>
                <w:szCs w:val="22"/>
              </w:rPr>
            </w:pPr>
            <w:r w:rsidRPr="006F411F">
              <w:rPr>
                <w:rFonts w:asciiTheme="minorHAnsi" w:hAnsiTheme="minorHAnsi" w:cstheme="minorBidi"/>
                <w:sz w:val="24"/>
                <w:szCs w:val="22"/>
              </w:rPr>
              <w:t>£6,000</w:t>
            </w:r>
          </w:p>
        </w:tc>
        <w:tc>
          <w:tcPr>
            <w:tcW w:w="2324" w:type="dxa"/>
            <w:vAlign w:val="bottom"/>
          </w:tcPr>
          <w:p w:rsidR="00E83C4F" w:rsidRPr="006F411F" w:rsidRDefault="00E83C4F" w:rsidP="00054B40">
            <w:pPr>
              <w:spacing w:line="276" w:lineRule="auto"/>
              <w:jc w:val="center"/>
              <w:rPr>
                <w:rFonts w:asciiTheme="minorHAnsi" w:hAnsiTheme="minorHAnsi" w:cstheme="minorBidi"/>
                <w:sz w:val="24"/>
                <w:szCs w:val="22"/>
              </w:rPr>
            </w:pPr>
            <w:r w:rsidRPr="006F411F">
              <w:rPr>
                <w:rFonts w:asciiTheme="minorHAnsi" w:hAnsiTheme="minorHAnsi" w:cstheme="minorBidi"/>
                <w:sz w:val="24"/>
                <w:szCs w:val="22"/>
              </w:rPr>
              <w:t>£7,670</w:t>
            </w:r>
          </w:p>
        </w:tc>
      </w:tr>
      <w:tr w:rsidR="00E83C4F" w:rsidRPr="006F411F" w:rsidTr="00054B40">
        <w:trPr>
          <w:trHeight w:val="373"/>
        </w:trPr>
        <w:tc>
          <w:tcPr>
            <w:tcW w:w="2330" w:type="dxa"/>
            <w:vAlign w:val="center"/>
          </w:tcPr>
          <w:p w:rsidR="00E83C4F" w:rsidRPr="006F411F" w:rsidRDefault="00E83C4F" w:rsidP="00054B40">
            <w:pPr>
              <w:spacing w:line="276" w:lineRule="auto"/>
              <w:jc w:val="center"/>
              <w:rPr>
                <w:rFonts w:asciiTheme="minorHAnsi" w:hAnsiTheme="minorHAnsi" w:cstheme="minorBidi"/>
                <w:sz w:val="24"/>
                <w:szCs w:val="22"/>
              </w:rPr>
            </w:pPr>
            <w:r w:rsidRPr="006F411F">
              <w:rPr>
                <w:rFonts w:asciiTheme="minorHAnsi" w:hAnsiTheme="minorHAnsi" w:cstheme="minorBidi"/>
                <w:sz w:val="24"/>
                <w:szCs w:val="22"/>
              </w:rPr>
              <w:t>Band 3 Medium (3M)</w:t>
            </w:r>
          </w:p>
        </w:tc>
        <w:tc>
          <w:tcPr>
            <w:tcW w:w="2352" w:type="dxa"/>
            <w:vAlign w:val="center"/>
          </w:tcPr>
          <w:p w:rsidR="00E83C4F" w:rsidRPr="006F411F" w:rsidRDefault="00E83C4F" w:rsidP="00054B40">
            <w:pPr>
              <w:pStyle w:val="ListParagraph"/>
              <w:ind w:left="0"/>
              <w:jc w:val="center"/>
              <w:rPr>
                <w:rFonts w:asciiTheme="minorHAnsi" w:eastAsiaTheme="minorHAnsi" w:hAnsiTheme="minorHAnsi" w:cstheme="minorBidi"/>
                <w:sz w:val="24"/>
                <w:szCs w:val="22"/>
                <w:lang w:eastAsia="en-US"/>
              </w:rPr>
            </w:pPr>
            <w:r w:rsidRPr="006F411F">
              <w:rPr>
                <w:rFonts w:asciiTheme="minorHAnsi" w:eastAsiaTheme="minorHAnsi" w:hAnsiTheme="minorHAnsi" w:cstheme="minorBidi"/>
                <w:sz w:val="24"/>
                <w:szCs w:val="22"/>
                <w:lang w:eastAsia="en-US"/>
              </w:rPr>
              <w:t>£3,347</w:t>
            </w:r>
          </w:p>
        </w:tc>
        <w:tc>
          <w:tcPr>
            <w:tcW w:w="2332" w:type="dxa"/>
            <w:vAlign w:val="bottom"/>
          </w:tcPr>
          <w:p w:rsidR="00E83C4F" w:rsidRPr="006F411F" w:rsidRDefault="00E83C4F" w:rsidP="00054B40">
            <w:pPr>
              <w:spacing w:line="276" w:lineRule="auto"/>
              <w:jc w:val="center"/>
              <w:rPr>
                <w:rFonts w:asciiTheme="minorHAnsi" w:hAnsiTheme="minorHAnsi" w:cstheme="minorBidi"/>
                <w:sz w:val="24"/>
                <w:szCs w:val="22"/>
              </w:rPr>
            </w:pPr>
            <w:r w:rsidRPr="006F411F">
              <w:rPr>
                <w:rFonts w:asciiTheme="minorHAnsi" w:hAnsiTheme="minorHAnsi" w:cstheme="minorBidi"/>
                <w:sz w:val="24"/>
                <w:szCs w:val="22"/>
              </w:rPr>
              <w:t>£6,000</w:t>
            </w:r>
          </w:p>
        </w:tc>
        <w:tc>
          <w:tcPr>
            <w:tcW w:w="2324" w:type="dxa"/>
            <w:vAlign w:val="bottom"/>
          </w:tcPr>
          <w:p w:rsidR="00E83C4F" w:rsidRPr="006F411F" w:rsidRDefault="00E83C4F" w:rsidP="00054B40">
            <w:pPr>
              <w:spacing w:line="276" w:lineRule="auto"/>
              <w:jc w:val="center"/>
              <w:rPr>
                <w:rFonts w:asciiTheme="minorHAnsi" w:hAnsiTheme="minorHAnsi" w:cstheme="minorBidi"/>
                <w:sz w:val="24"/>
                <w:szCs w:val="22"/>
              </w:rPr>
            </w:pPr>
            <w:r w:rsidRPr="006F411F">
              <w:rPr>
                <w:rFonts w:asciiTheme="minorHAnsi" w:hAnsiTheme="minorHAnsi" w:cstheme="minorBidi"/>
                <w:sz w:val="24"/>
                <w:szCs w:val="22"/>
              </w:rPr>
              <w:t>£9,347</w:t>
            </w:r>
          </w:p>
        </w:tc>
      </w:tr>
      <w:tr w:rsidR="00E83C4F" w:rsidRPr="006F411F" w:rsidTr="00054B40">
        <w:trPr>
          <w:trHeight w:val="358"/>
        </w:trPr>
        <w:tc>
          <w:tcPr>
            <w:tcW w:w="2330" w:type="dxa"/>
            <w:vAlign w:val="center"/>
          </w:tcPr>
          <w:p w:rsidR="00E83C4F" w:rsidRPr="006F411F" w:rsidRDefault="00E83C4F" w:rsidP="00054B40">
            <w:pPr>
              <w:spacing w:line="276" w:lineRule="auto"/>
              <w:jc w:val="center"/>
              <w:rPr>
                <w:rFonts w:asciiTheme="minorHAnsi" w:hAnsiTheme="minorHAnsi" w:cstheme="minorBidi"/>
                <w:sz w:val="24"/>
                <w:szCs w:val="22"/>
              </w:rPr>
            </w:pPr>
            <w:r w:rsidRPr="006F411F">
              <w:rPr>
                <w:rFonts w:asciiTheme="minorHAnsi" w:hAnsiTheme="minorHAnsi" w:cstheme="minorBidi"/>
                <w:sz w:val="24"/>
                <w:szCs w:val="22"/>
              </w:rPr>
              <w:t>Band 3 High (3H)</w:t>
            </w:r>
          </w:p>
        </w:tc>
        <w:tc>
          <w:tcPr>
            <w:tcW w:w="2352" w:type="dxa"/>
            <w:vAlign w:val="center"/>
          </w:tcPr>
          <w:p w:rsidR="00E83C4F" w:rsidRPr="006F411F" w:rsidRDefault="00E83C4F" w:rsidP="00054B40">
            <w:pPr>
              <w:pStyle w:val="ListParagraph"/>
              <w:ind w:left="0"/>
              <w:jc w:val="center"/>
              <w:rPr>
                <w:rFonts w:asciiTheme="minorHAnsi" w:eastAsiaTheme="minorHAnsi" w:hAnsiTheme="minorHAnsi" w:cstheme="minorBidi"/>
                <w:sz w:val="24"/>
                <w:szCs w:val="22"/>
                <w:lang w:eastAsia="en-US"/>
              </w:rPr>
            </w:pPr>
            <w:r w:rsidRPr="006F411F">
              <w:rPr>
                <w:rFonts w:asciiTheme="minorHAnsi" w:eastAsiaTheme="minorHAnsi" w:hAnsiTheme="minorHAnsi" w:cstheme="minorBidi"/>
                <w:sz w:val="24"/>
                <w:szCs w:val="22"/>
                <w:lang w:eastAsia="en-US"/>
              </w:rPr>
              <w:t>£4,974</w:t>
            </w:r>
          </w:p>
        </w:tc>
        <w:tc>
          <w:tcPr>
            <w:tcW w:w="2332" w:type="dxa"/>
            <w:vAlign w:val="bottom"/>
          </w:tcPr>
          <w:p w:rsidR="00E83C4F" w:rsidRPr="006F411F" w:rsidRDefault="00E83C4F" w:rsidP="00054B40">
            <w:pPr>
              <w:spacing w:line="276" w:lineRule="auto"/>
              <w:jc w:val="center"/>
              <w:rPr>
                <w:rFonts w:asciiTheme="minorHAnsi" w:hAnsiTheme="minorHAnsi" w:cstheme="minorBidi"/>
                <w:sz w:val="24"/>
                <w:szCs w:val="22"/>
              </w:rPr>
            </w:pPr>
            <w:r w:rsidRPr="006F411F">
              <w:rPr>
                <w:rFonts w:asciiTheme="minorHAnsi" w:hAnsiTheme="minorHAnsi" w:cstheme="minorBidi"/>
                <w:sz w:val="24"/>
                <w:szCs w:val="22"/>
              </w:rPr>
              <w:t>£6,000</w:t>
            </w:r>
          </w:p>
        </w:tc>
        <w:tc>
          <w:tcPr>
            <w:tcW w:w="2324" w:type="dxa"/>
            <w:vAlign w:val="bottom"/>
          </w:tcPr>
          <w:p w:rsidR="00E83C4F" w:rsidRPr="006F411F" w:rsidRDefault="00E83C4F" w:rsidP="00054B40">
            <w:pPr>
              <w:spacing w:line="276" w:lineRule="auto"/>
              <w:jc w:val="center"/>
              <w:rPr>
                <w:rFonts w:asciiTheme="minorHAnsi" w:hAnsiTheme="minorHAnsi" w:cstheme="minorBidi"/>
                <w:sz w:val="24"/>
                <w:szCs w:val="22"/>
              </w:rPr>
            </w:pPr>
            <w:r w:rsidRPr="006F411F">
              <w:rPr>
                <w:rFonts w:asciiTheme="minorHAnsi" w:hAnsiTheme="minorHAnsi" w:cstheme="minorBidi"/>
                <w:sz w:val="24"/>
                <w:szCs w:val="22"/>
              </w:rPr>
              <w:t>£10,974</w:t>
            </w:r>
          </w:p>
        </w:tc>
      </w:tr>
      <w:tr w:rsidR="00E83C4F" w:rsidRPr="006F411F" w:rsidTr="00054B40">
        <w:trPr>
          <w:trHeight w:val="358"/>
        </w:trPr>
        <w:tc>
          <w:tcPr>
            <w:tcW w:w="2330" w:type="dxa"/>
            <w:vAlign w:val="center"/>
          </w:tcPr>
          <w:p w:rsidR="00E83C4F" w:rsidRPr="006F411F" w:rsidRDefault="00E83C4F" w:rsidP="00054B40">
            <w:pPr>
              <w:spacing w:line="276" w:lineRule="auto"/>
              <w:jc w:val="center"/>
              <w:rPr>
                <w:rFonts w:asciiTheme="minorHAnsi" w:hAnsiTheme="minorHAnsi" w:cstheme="minorBidi"/>
                <w:sz w:val="24"/>
                <w:szCs w:val="22"/>
              </w:rPr>
            </w:pPr>
            <w:r w:rsidRPr="006F411F">
              <w:rPr>
                <w:rFonts w:asciiTheme="minorHAnsi" w:hAnsiTheme="minorHAnsi" w:cstheme="minorBidi"/>
                <w:sz w:val="24"/>
                <w:szCs w:val="22"/>
              </w:rPr>
              <w:t>Band 4 Low (4L)</w:t>
            </w:r>
          </w:p>
        </w:tc>
        <w:tc>
          <w:tcPr>
            <w:tcW w:w="2352" w:type="dxa"/>
            <w:vAlign w:val="center"/>
          </w:tcPr>
          <w:p w:rsidR="00E83C4F" w:rsidRPr="006F411F" w:rsidRDefault="00E83C4F" w:rsidP="00054B40">
            <w:pPr>
              <w:pStyle w:val="ListParagraph"/>
              <w:ind w:left="0"/>
              <w:jc w:val="center"/>
              <w:rPr>
                <w:rFonts w:asciiTheme="minorHAnsi" w:eastAsiaTheme="minorHAnsi" w:hAnsiTheme="minorHAnsi" w:cstheme="minorBidi"/>
                <w:sz w:val="24"/>
                <w:szCs w:val="22"/>
                <w:lang w:eastAsia="en-US"/>
              </w:rPr>
            </w:pPr>
            <w:r w:rsidRPr="006F411F">
              <w:rPr>
                <w:rFonts w:asciiTheme="minorHAnsi" w:eastAsiaTheme="minorHAnsi" w:hAnsiTheme="minorHAnsi" w:cstheme="minorBidi"/>
                <w:sz w:val="24"/>
                <w:szCs w:val="22"/>
                <w:lang w:eastAsia="en-US"/>
              </w:rPr>
              <w:t>£7,747</w:t>
            </w:r>
          </w:p>
        </w:tc>
        <w:tc>
          <w:tcPr>
            <w:tcW w:w="2332" w:type="dxa"/>
            <w:vAlign w:val="bottom"/>
          </w:tcPr>
          <w:p w:rsidR="00E83C4F" w:rsidRPr="006F411F" w:rsidRDefault="00E83C4F" w:rsidP="00054B40">
            <w:pPr>
              <w:spacing w:line="276" w:lineRule="auto"/>
              <w:jc w:val="center"/>
              <w:rPr>
                <w:rFonts w:asciiTheme="minorHAnsi" w:hAnsiTheme="minorHAnsi" w:cstheme="minorBidi"/>
                <w:sz w:val="24"/>
                <w:szCs w:val="22"/>
              </w:rPr>
            </w:pPr>
            <w:r w:rsidRPr="006F411F">
              <w:rPr>
                <w:rFonts w:asciiTheme="minorHAnsi" w:hAnsiTheme="minorHAnsi" w:cstheme="minorBidi"/>
                <w:sz w:val="24"/>
                <w:szCs w:val="22"/>
              </w:rPr>
              <w:t>£6,000</w:t>
            </w:r>
          </w:p>
        </w:tc>
        <w:tc>
          <w:tcPr>
            <w:tcW w:w="2324" w:type="dxa"/>
            <w:vAlign w:val="bottom"/>
          </w:tcPr>
          <w:p w:rsidR="00E83C4F" w:rsidRPr="006F411F" w:rsidRDefault="00E83C4F" w:rsidP="00054B40">
            <w:pPr>
              <w:spacing w:line="276" w:lineRule="auto"/>
              <w:jc w:val="center"/>
              <w:rPr>
                <w:rFonts w:asciiTheme="minorHAnsi" w:hAnsiTheme="minorHAnsi" w:cstheme="minorBidi"/>
                <w:sz w:val="24"/>
                <w:szCs w:val="22"/>
              </w:rPr>
            </w:pPr>
            <w:r w:rsidRPr="006F411F">
              <w:rPr>
                <w:rFonts w:asciiTheme="minorHAnsi" w:hAnsiTheme="minorHAnsi" w:cstheme="minorBidi"/>
                <w:sz w:val="24"/>
                <w:szCs w:val="22"/>
              </w:rPr>
              <w:t>£13,747</w:t>
            </w:r>
          </w:p>
        </w:tc>
      </w:tr>
      <w:tr w:rsidR="00E83C4F" w:rsidRPr="006F411F" w:rsidTr="00054B40">
        <w:trPr>
          <w:trHeight w:val="373"/>
        </w:trPr>
        <w:tc>
          <w:tcPr>
            <w:tcW w:w="2330" w:type="dxa"/>
            <w:vAlign w:val="center"/>
          </w:tcPr>
          <w:p w:rsidR="00E83C4F" w:rsidRPr="006F411F" w:rsidRDefault="00E83C4F" w:rsidP="00054B40">
            <w:pPr>
              <w:spacing w:line="276" w:lineRule="auto"/>
              <w:jc w:val="center"/>
              <w:rPr>
                <w:rFonts w:asciiTheme="minorHAnsi" w:hAnsiTheme="minorHAnsi" w:cstheme="minorBidi"/>
                <w:sz w:val="24"/>
                <w:szCs w:val="22"/>
              </w:rPr>
            </w:pPr>
            <w:r w:rsidRPr="006F411F">
              <w:rPr>
                <w:rFonts w:asciiTheme="minorHAnsi" w:hAnsiTheme="minorHAnsi" w:cstheme="minorBidi"/>
                <w:sz w:val="24"/>
                <w:szCs w:val="22"/>
              </w:rPr>
              <w:t>Band 4 Medium (4M)</w:t>
            </w:r>
          </w:p>
        </w:tc>
        <w:tc>
          <w:tcPr>
            <w:tcW w:w="2352" w:type="dxa"/>
            <w:vAlign w:val="center"/>
          </w:tcPr>
          <w:p w:rsidR="00E83C4F" w:rsidRPr="006F411F" w:rsidRDefault="00E83C4F" w:rsidP="00054B40">
            <w:pPr>
              <w:pStyle w:val="ListParagraph"/>
              <w:ind w:left="0"/>
              <w:jc w:val="center"/>
              <w:rPr>
                <w:rFonts w:asciiTheme="minorHAnsi" w:eastAsiaTheme="minorHAnsi" w:hAnsiTheme="minorHAnsi" w:cstheme="minorBidi"/>
                <w:sz w:val="24"/>
                <w:szCs w:val="22"/>
                <w:lang w:eastAsia="en-US"/>
              </w:rPr>
            </w:pPr>
            <w:r w:rsidRPr="006F411F">
              <w:rPr>
                <w:rFonts w:asciiTheme="minorHAnsi" w:eastAsiaTheme="minorHAnsi" w:hAnsiTheme="minorHAnsi" w:cstheme="minorBidi"/>
                <w:sz w:val="24"/>
                <w:szCs w:val="22"/>
                <w:lang w:eastAsia="en-US"/>
              </w:rPr>
              <w:t>£11,296</w:t>
            </w:r>
          </w:p>
        </w:tc>
        <w:tc>
          <w:tcPr>
            <w:tcW w:w="2332" w:type="dxa"/>
            <w:vAlign w:val="bottom"/>
          </w:tcPr>
          <w:p w:rsidR="00E83C4F" w:rsidRPr="006F411F" w:rsidRDefault="00E83C4F" w:rsidP="00054B40">
            <w:pPr>
              <w:spacing w:line="276" w:lineRule="auto"/>
              <w:jc w:val="center"/>
              <w:rPr>
                <w:rFonts w:asciiTheme="minorHAnsi" w:hAnsiTheme="minorHAnsi" w:cstheme="minorBidi"/>
                <w:sz w:val="24"/>
                <w:szCs w:val="22"/>
              </w:rPr>
            </w:pPr>
            <w:r w:rsidRPr="006F411F">
              <w:rPr>
                <w:rFonts w:asciiTheme="minorHAnsi" w:hAnsiTheme="minorHAnsi" w:cstheme="minorBidi"/>
                <w:sz w:val="24"/>
                <w:szCs w:val="22"/>
              </w:rPr>
              <w:t>£6,000</w:t>
            </w:r>
          </w:p>
        </w:tc>
        <w:tc>
          <w:tcPr>
            <w:tcW w:w="2324" w:type="dxa"/>
            <w:vAlign w:val="bottom"/>
          </w:tcPr>
          <w:p w:rsidR="00E83C4F" w:rsidRPr="006F411F" w:rsidRDefault="00E83C4F" w:rsidP="00054B40">
            <w:pPr>
              <w:spacing w:line="276" w:lineRule="auto"/>
              <w:jc w:val="center"/>
              <w:rPr>
                <w:rFonts w:asciiTheme="minorHAnsi" w:hAnsiTheme="minorHAnsi" w:cstheme="minorBidi"/>
                <w:sz w:val="24"/>
                <w:szCs w:val="22"/>
              </w:rPr>
            </w:pPr>
            <w:r w:rsidRPr="006F411F">
              <w:rPr>
                <w:rFonts w:asciiTheme="minorHAnsi" w:hAnsiTheme="minorHAnsi" w:cstheme="minorBidi"/>
                <w:sz w:val="24"/>
                <w:szCs w:val="22"/>
              </w:rPr>
              <w:t>£17,296</w:t>
            </w:r>
          </w:p>
        </w:tc>
      </w:tr>
      <w:tr w:rsidR="00E83C4F" w:rsidRPr="006F411F" w:rsidTr="00054B40">
        <w:trPr>
          <w:trHeight w:val="373"/>
        </w:trPr>
        <w:tc>
          <w:tcPr>
            <w:tcW w:w="2330" w:type="dxa"/>
            <w:vAlign w:val="center"/>
          </w:tcPr>
          <w:p w:rsidR="00E83C4F" w:rsidRPr="006F411F" w:rsidRDefault="00E83C4F" w:rsidP="00054B40">
            <w:pPr>
              <w:spacing w:line="276" w:lineRule="auto"/>
              <w:jc w:val="center"/>
              <w:rPr>
                <w:rFonts w:asciiTheme="minorHAnsi" w:hAnsiTheme="minorHAnsi" w:cstheme="minorBidi"/>
                <w:sz w:val="24"/>
                <w:szCs w:val="22"/>
              </w:rPr>
            </w:pPr>
            <w:r w:rsidRPr="006F411F">
              <w:rPr>
                <w:rFonts w:asciiTheme="minorHAnsi" w:hAnsiTheme="minorHAnsi" w:cstheme="minorBidi"/>
                <w:sz w:val="24"/>
                <w:szCs w:val="22"/>
              </w:rPr>
              <w:t>Band 4 High (4H)</w:t>
            </w:r>
          </w:p>
        </w:tc>
        <w:tc>
          <w:tcPr>
            <w:tcW w:w="2352" w:type="dxa"/>
            <w:vAlign w:val="center"/>
          </w:tcPr>
          <w:p w:rsidR="00E83C4F" w:rsidRPr="006F411F" w:rsidRDefault="00E83C4F" w:rsidP="00054B40">
            <w:pPr>
              <w:pStyle w:val="ListParagraph"/>
              <w:ind w:left="0"/>
              <w:jc w:val="center"/>
              <w:rPr>
                <w:rFonts w:asciiTheme="minorHAnsi" w:eastAsiaTheme="minorHAnsi" w:hAnsiTheme="minorHAnsi" w:cstheme="minorBidi"/>
                <w:sz w:val="24"/>
                <w:szCs w:val="22"/>
                <w:lang w:eastAsia="en-US"/>
              </w:rPr>
            </w:pPr>
            <w:r w:rsidRPr="006F411F">
              <w:rPr>
                <w:rFonts w:asciiTheme="minorHAnsi" w:eastAsiaTheme="minorHAnsi" w:hAnsiTheme="minorHAnsi" w:cstheme="minorBidi"/>
                <w:sz w:val="24"/>
                <w:szCs w:val="22"/>
                <w:lang w:eastAsia="en-US"/>
              </w:rPr>
              <w:t>£15,051</w:t>
            </w:r>
          </w:p>
        </w:tc>
        <w:tc>
          <w:tcPr>
            <w:tcW w:w="2332" w:type="dxa"/>
            <w:vAlign w:val="bottom"/>
          </w:tcPr>
          <w:p w:rsidR="00E83C4F" w:rsidRPr="006F411F" w:rsidRDefault="00E83C4F" w:rsidP="00054B40">
            <w:pPr>
              <w:spacing w:line="276" w:lineRule="auto"/>
              <w:jc w:val="center"/>
              <w:rPr>
                <w:rFonts w:asciiTheme="minorHAnsi" w:hAnsiTheme="minorHAnsi" w:cstheme="minorBidi"/>
                <w:sz w:val="24"/>
                <w:szCs w:val="22"/>
              </w:rPr>
            </w:pPr>
            <w:r w:rsidRPr="006F411F">
              <w:rPr>
                <w:rFonts w:asciiTheme="minorHAnsi" w:hAnsiTheme="minorHAnsi" w:cstheme="minorBidi"/>
                <w:sz w:val="24"/>
                <w:szCs w:val="22"/>
              </w:rPr>
              <w:t>£6,000</w:t>
            </w:r>
          </w:p>
        </w:tc>
        <w:tc>
          <w:tcPr>
            <w:tcW w:w="2324" w:type="dxa"/>
            <w:vAlign w:val="bottom"/>
          </w:tcPr>
          <w:p w:rsidR="00E83C4F" w:rsidRPr="006F411F" w:rsidRDefault="00E83C4F" w:rsidP="00054B40">
            <w:pPr>
              <w:spacing w:line="276" w:lineRule="auto"/>
              <w:jc w:val="center"/>
              <w:rPr>
                <w:rFonts w:asciiTheme="minorHAnsi" w:hAnsiTheme="minorHAnsi" w:cstheme="minorBidi"/>
                <w:sz w:val="24"/>
                <w:szCs w:val="22"/>
              </w:rPr>
            </w:pPr>
            <w:r w:rsidRPr="006F411F">
              <w:rPr>
                <w:rFonts w:asciiTheme="minorHAnsi" w:hAnsiTheme="minorHAnsi" w:cstheme="minorBidi"/>
                <w:sz w:val="24"/>
                <w:szCs w:val="22"/>
              </w:rPr>
              <w:t>£21,051</w:t>
            </w:r>
          </w:p>
        </w:tc>
      </w:tr>
    </w:tbl>
    <w:p w:rsidR="00E74865" w:rsidRPr="00E74865" w:rsidRDefault="00E74865" w:rsidP="00E74865">
      <w:pPr>
        <w:jc w:val="both"/>
        <w:rPr>
          <w:rFonts w:cs="Arial"/>
          <w:sz w:val="24"/>
          <w:szCs w:val="24"/>
        </w:rPr>
      </w:pPr>
    </w:p>
    <w:p w:rsidR="00E74865" w:rsidRDefault="00E74865" w:rsidP="00E74865">
      <w:pPr>
        <w:jc w:val="both"/>
        <w:rPr>
          <w:rFonts w:cs="Arial"/>
          <w:sz w:val="24"/>
          <w:szCs w:val="24"/>
        </w:rPr>
      </w:pPr>
      <w:r w:rsidRPr="00E74865">
        <w:rPr>
          <w:rFonts w:cs="Arial"/>
          <w:sz w:val="24"/>
          <w:szCs w:val="24"/>
        </w:rPr>
        <w:t>The facility to combine values means that the SEND Panel can use the model in a flexible way to find a very close fit for the funding especially of children and young people with significant secondary needs as well as those that require additional functional support both within and outside of the standard taught school day where this is not already funded within a single band value.</w:t>
      </w:r>
    </w:p>
    <w:sectPr w:rsidR="00E748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DC7"/>
    <w:multiLevelType w:val="hybridMultilevel"/>
    <w:tmpl w:val="6956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0682C"/>
    <w:multiLevelType w:val="hybridMultilevel"/>
    <w:tmpl w:val="36DCE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1F"/>
    <w:rsid w:val="00015F39"/>
    <w:rsid w:val="00213851"/>
    <w:rsid w:val="006F411F"/>
    <w:rsid w:val="00821928"/>
    <w:rsid w:val="00926978"/>
    <w:rsid w:val="00A746F8"/>
    <w:rsid w:val="00CC7B3E"/>
    <w:rsid w:val="00E74865"/>
    <w:rsid w:val="00E83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9101"/>
  <w15:docId w15:val="{1E7E6BB0-7622-46D3-8FDC-510ABCB1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1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6F411F"/>
    <w:pPr>
      <w:spacing w:after="0" w:line="240" w:lineRule="auto"/>
      <w:ind w:left="720"/>
      <w:contextualSpacing/>
    </w:pPr>
    <w:rPr>
      <w:rFonts w:ascii="Arial" w:eastAsia="Times New Roman" w:hAnsi="Arial" w:cs="Times New Roman"/>
      <w:sz w:val="20"/>
      <w:szCs w:val="20"/>
      <w:lang w:eastAsia="en-GB"/>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6F411F"/>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63050">
      <w:bodyDiv w:val="1"/>
      <w:marLeft w:val="0"/>
      <w:marRight w:val="0"/>
      <w:marTop w:val="0"/>
      <w:marBottom w:val="0"/>
      <w:divBdr>
        <w:top w:val="none" w:sz="0" w:space="0" w:color="auto"/>
        <w:left w:val="none" w:sz="0" w:space="0" w:color="auto"/>
        <w:bottom w:val="none" w:sz="0" w:space="0" w:color="auto"/>
        <w:right w:val="none" w:sz="0" w:space="0" w:color="auto"/>
      </w:divBdr>
    </w:div>
    <w:div w:id="212745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Dennis</dc:creator>
  <cp:lastModifiedBy>Educational Psychology Team</cp:lastModifiedBy>
  <cp:revision>2</cp:revision>
  <dcterms:created xsi:type="dcterms:W3CDTF">2020-10-27T11:45:00Z</dcterms:created>
  <dcterms:modified xsi:type="dcterms:W3CDTF">2020-10-27T11:45:00Z</dcterms:modified>
</cp:coreProperties>
</file>