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70" w:rsidRPr="00D43991" w:rsidRDefault="00D43991" w:rsidP="00D43991">
      <w:pPr>
        <w:jc w:val="center"/>
        <w:rPr>
          <w:b/>
          <w:sz w:val="24"/>
        </w:rPr>
      </w:pPr>
      <w:r w:rsidRPr="00D43991">
        <w:rPr>
          <w:b/>
          <w:sz w:val="24"/>
        </w:rPr>
        <w:t>Supporting Staff Wellbeing Checklist</w:t>
      </w:r>
    </w:p>
    <w:p w:rsidR="00D43991" w:rsidRDefault="00D43991" w:rsidP="00D43991">
      <w:pPr>
        <w:jc w:val="center"/>
      </w:pPr>
    </w:p>
    <w:p w:rsidR="00C60786" w:rsidRDefault="00C60786">
      <w:r>
        <w:t>These building blocks are things that schools can do to ensure that they are looking after the wellbeing of their staff.</w:t>
      </w:r>
    </w:p>
    <w:p w:rsidR="00C60786" w:rsidRDefault="00C60786">
      <w:r>
        <w:t>Many schools are already implementing these strategies as a matter of course.</w:t>
      </w:r>
    </w:p>
    <w:p w:rsidR="00C60786" w:rsidRDefault="00C60786">
      <w:r>
        <w:rPr>
          <w:noProof/>
          <w:lang w:eastAsia="en-GB"/>
        </w:rPr>
        <w:drawing>
          <wp:anchor distT="0" distB="0" distL="114300" distR="114300" simplePos="0" relativeHeight="251658240" behindDoc="0" locked="0" layoutInCell="1" allowOverlap="1" wp14:anchorId="6C54CF68" wp14:editId="0CA5C7B7">
            <wp:simplePos x="0" y="0"/>
            <wp:positionH relativeFrom="column">
              <wp:posOffset>-47625</wp:posOffset>
            </wp:positionH>
            <wp:positionV relativeFrom="paragraph">
              <wp:posOffset>1066800</wp:posOffset>
            </wp:positionV>
            <wp:extent cx="5324946" cy="41433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8613" t="25343" r="25216" b="20025"/>
                    <a:stretch/>
                  </pic:blipFill>
                  <pic:spPr bwMode="auto">
                    <a:xfrm>
                      <a:off x="0" y="0"/>
                      <a:ext cx="5324946" cy="4143375"/>
                    </a:xfrm>
                    <a:prstGeom prst="rect">
                      <a:avLst/>
                    </a:prstGeom>
                    <a:ln>
                      <a:noFill/>
                    </a:ln>
                    <a:extLst>
                      <a:ext uri="{53640926-AAD7-44D8-BBD7-CCE9431645EC}">
                        <a14:shadowObscured xmlns:a14="http://schemas.microsoft.com/office/drawing/2010/main"/>
                      </a:ext>
                    </a:extLst>
                  </pic:spPr>
                </pic:pic>
              </a:graphicData>
            </a:graphic>
          </wp:anchor>
        </w:drawing>
      </w:r>
      <w:r>
        <w:t xml:space="preserve">Work through the </w:t>
      </w:r>
      <w:r w:rsidR="00F4282F">
        <w:t>check</w:t>
      </w:r>
      <w:r w:rsidR="00A760B0">
        <w:t>lists below to see whether there are any areas that you could take any additional actions in or any areas you are lacking in all together.</w:t>
      </w:r>
      <w:r>
        <w:br w:type="page"/>
      </w:r>
    </w:p>
    <w:tbl>
      <w:tblPr>
        <w:tblStyle w:val="TableGrid"/>
        <w:tblpPr w:leftFromText="180" w:rightFromText="180" w:vertAnchor="text" w:horzAnchor="margin" w:tblpY="-14"/>
        <w:tblW w:w="9163" w:type="dxa"/>
        <w:tblLook w:val="04A0" w:firstRow="1" w:lastRow="0" w:firstColumn="1" w:lastColumn="0" w:noHBand="0" w:noVBand="1"/>
      </w:tblPr>
      <w:tblGrid>
        <w:gridCol w:w="4213"/>
        <w:gridCol w:w="347"/>
        <w:gridCol w:w="361"/>
        <w:gridCol w:w="391"/>
        <w:gridCol w:w="3851"/>
      </w:tblGrid>
      <w:tr w:rsidR="00A760B0" w:rsidRPr="00D43991" w:rsidTr="00A760B0">
        <w:tc>
          <w:tcPr>
            <w:tcW w:w="4214" w:type="dxa"/>
            <w:shd w:val="clear" w:color="auto" w:fill="D9D9D9" w:themeFill="background1" w:themeFillShade="D9"/>
          </w:tcPr>
          <w:p w:rsidR="00A760B0" w:rsidRPr="00A760B0" w:rsidRDefault="00A760B0" w:rsidP="00A760B0">
            <w:pPr>
              <w:rPr>
                <w:b/>
              </w:rPr>
            </w:pPr>
            <w:r w:rsidRPr="00A760B0">
              <w:rPr>
                <w:b/>
              </w:rPr>
              <w:lastRenderedPageBreak/>
              <w:t>Universal</w:t>
            </w:r>
          </w:p>
        </w:tc>
        <w:tc>
          <w:tcPr>
            <w:tcW w:w="347" w:type="dxa"/>
            <w:shd w:val="clear" w:color="auto" w:fill="D9D9D9" w:themeFill="background1" w:themeFillShade="D9"/>
          </w:tcPr>
          <w:p w:rsidR="00A760B0" w:rsidRPr="00A760B0" w:rsidRDefault="00A760B0" w:rsidP="00A760B0">
            <w:pPr>
              <w:rPr>
                <w:b/>
              </w:rPr>
            </w:pPr>
            <w:r w:rsidRPr="00A760B0">
              <w:rPr>
                <w:b/>
              </w:rPr>
              <w:t>Y</w:t>
            </w:r>
          </w:p>
        </w:tc>
        <w:tc>
          <w:tcPr>
            <w:tcW w:w="359" w:type="dxa"/>
            <w:shd w:val="clear" w:color="auto" w:fill="D9D9D9" w:themeFill="background1" w:themeFillShade="D9"/>
          </w:tcPr>
          <w:p w:rsidR="00A760B0" w:rsidRPr="00A760B0" w:rsidRDefault="00A760B0" w:rsidP="00A760B0">
            <w:pPr>
              <w:rPr>
                <w:b/>
              </w:rPr>
            </w:pPr>
            <w:r w:rsidRPr="00A760B0">
              <w:rPr>
                <w:b/>
              </w:rPr>
              <w:t>N</w:t>
            </w:r>
          </w:p>
        </w:tc>
        <w:tc>
          <w:tcPr>
            <w:tcW w:w="391" w:type="dxa"/>
            <w:shd w:val="clear" w:color="auto" w:fill="D9D9D9" w:themeFill="background1" w:themeFillShade="D9"/>
          </w:tcPr>
          <w:p w:rsidR="00A760B0" w:rsidRPr="00A760B0" w:rsidRDefault="00A760B0" w:rsidP="00A760B0">
            <w:pPr>
              <w:rPr>
                <w:b/>
              </w:rPr>
            </w:pPr>
            <w:r w:rsidRPr="00A760B0">
              <w:rPr>
                <w:b/>
              </w:rPr>
              <w:t>?</w:t>
            </w:r>
          </w:p>
        </w:tc>
        <w:tc>
          <w:tcPr>
            <w:tcW w:w="3852" w:type="dxa"/>
            <w:shd w:val="clear" w:color="auto" w:fill="D9D9D9" w:themeFill="background1" w:themeFillShade="D9"/>
          </w:tcPr>
          <w:p w:rsidR="00A760B0" w:rsidRPr="00A760B0" w:rsidRDefault="00A760B0" w:rsidP="00A760B0">
            <w:pPr>
              <w:rPr>
                <w:b/>
              </w:rPr>
            </w:pPr>
            <w:r w:rsidRPr="00A760B0">
              <w:rPr>
                <w:b/>
              </w:rPr>
              <w:t>Comments / Actions</w:t>
            </w:r>
          </w:p>
        </w:tc>
      </w:tr>
      <w:tr w:rsidR="00A760B0" w:rsidRPr="00D43991" w:rsidTr="00A760B0">
        <w:tc>
          <w:tcPr>
            <w:tcW w:w="4214" w:type="dxa"/>
          </w:tcPr>
          <w:p w:rsidR="00A760B0" w:rsidRPr="00D43991" w:rsidRDefault="00A760B0" w:rsidP="00A760B0">
            <w:r w:rsidRPr="00D43991">
              <w:t xml:space="preserve">Does your school have a staff wellbeing strategy? Has it been co-produced with staff, governors and parents/carers? Is it effectively implemented and routinely reviewed through a process of consultation </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Is the workplace a positive environment for staff? Is there a dedicated space where they can go and take time out? Is it appealing and looked after? Are there any low cost ways to promote wellbeing and make staff feel valued (e.g. acknowledging good work, having fruit in the staffroom, bringing in treats to thank staff or for inset days)?</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Do the senior leaders in the school model good working practices and self-care to encourage an appropriate work-life balance? Encouraging staff to take breaks, for example, finishing on time, having regular debriefs or supervision from colleagues or line managers when dealing with difficult situations.</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Is there a culture of clear communication about workplace wellbeing?</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Do staff feel able to talk about concerns?</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Do all senior staff members have an open-door policy and do staff know they can discuss anything with them?</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How are staff consulted about change and involved in developing problem-solving strategies? A regular staff wellbeing survey, for example, could help to generate feedback and ideas.</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r w:rsidR="00A760B0" w:rsidRPr="00D43991" w:rsidTr="00A760B0">
        <w:tc>
          <w:tcPr>
            <w:tcW w:w="4214" w:type="dxa"/>
          </w:tcPr>
          <w:p w:rsidR="00A760B0" w:rsidRPr="00D43991" w:rsidRDefault="00A760B0" w:rsidP="00A760B0">
            <w:r w:rsidRPr="00D43991">
              <w:t>Does the school communication style help engage staff and build good staff relationships? Is there a staff champion for wellbeing?</w:t>
            </w:r>
          </w:p>
        </w:tc>
        <w:tc>
          <w:tcPr>
            <w:tcW w:w="347" w:type="dxa"/>
          </w:tcPr>
          <w:p w:rsidR="00A760B0" w:rsidRPr="00D43991" w:rsidRDefault="00A760B0" w:rsidP="00A760B0"/>
        </w:tc>
        <w:tc>
          <w:tcPr>
            <w:tcW w:w="359" w:type="dxa"/>
          </w:tcPr>
          <w:p w:rsidR="00A760B0" w:rsidRPr="00D43991" w:rsidRDefault="00A760B0" w:rsidP="00A760B0"/>
        </w:tc>
        <w:tc>
          <w:tcPr>
            <w:tcW w:w="391" w:type="dxa"/>
          </w:tcPr>
          <w:p w:rsidR="00A760B0" w:rsidRPr="00D43991" w:rsidRDefault="00A760B0" w:rsidP="00A760B0"/>
        </w:tc>
        <w:tc>
          <w:tcPr>
            <w:tcW w:w="3852" w:type="dxa"/>
          </w:tcPr>
          <w:p w:rsidR="00A760B0" w:rsidRPr="00D43991" w:rsidRDefault="00A760B0" w:rsidP="00A760B0"/>
        </w:tc>
      </w:tr>
    </w:tbl>
    <w:p w:rsidR="00C60786" w:rsidRDefault="00C60786">
      <w:bookmarkStart w:id="0" w:name="_GoBack"/>
      <w:bookmarkEnd w:id="0"/>
    </w:p>
    <w:p w:rsidR="00C60786" w:rsidRDefault="00C60786"/>
    <w:p w:rsidR="00C60786" w:rsidRDefault="00C60786"/>
    <w:p w:rsidR="00D43991" w:rsidRDefault="00D43991" w:rsidP="00D43991">
      <w:pPr>
        <w:jc w:val="center"/>
      </w:pPr>
    </w:p>
    <w:p w:rsidR="00C60786" w:rsidRDefault="00C60786" w:rsidP="00D43991"/>
    <w:p w:rsidR="00D43991" w:rsidRDefault="00C60786" w:rsidP="00D43991">
      <w:r>
        <w:br w:type="page"/>
      </w:r>
    </w:p>
    <w:tbl>
      <w:tblPr>
        <w:tblStyle w:val="TableGrid"/>
        <w:tblW w:w="0" w:type="auto"/>
        <w:tblInd w:w="-147" w:type="dxa"/>
        <w:tblLook w:val="04A0" w:firstRow="1" w:lastRow="0" w:firstColumn="1" w:lastColumn="0" w:noHBand="0" w:noVBand="1"/>
      </w:tblPr>
      <w:tblGrid>
        <w:gridCol w:w="4214"/>
        <w:gridCol w:w="347"/>
        <w:gridCol w:w="359"/>
        <w:gridCol w:w="391"/>
        <w:gridCol w:w="3852"/>
      </w:tblGrid>
      <w:tr w:rsidR="00D43991" w:rsidRPr="00D43991" w:rsidTr="00A760B0">
        <w:tc>
          <w:tcPr>
            <w:tcW w:w="4214" w:type="dxa"/>
            <w:shd w:val="clear" w:color="auto" w:fill="D9D9D9" w:themeFill="background1" w:themeFillShade="D9"/>
          </w:tcPr>
          <w:p w:rsidR="00D43991" w:rsidRPr="00A760B0" w:rsidRDefault="00D43991" w:rsidP="001C1D99">
            <w:pPr>
              <w:rPr>
                <w:b/>
              </w:rPr>
            </w:pPr>
            <w:r w:rsidRPr="00A760B0">
              <w:rPr>
                <w:b/>
              </w:rPr>
              <w:lastRenderedPageBreak/>
              <w:t>Targeted</w:t>
            </w:r>
          </w:p>
        </w:tc>
        <w:tc>
          <w:tcPr>
            <w:tcW w:w="347" w:type="dxa"/>
            <w:shd w:val="clear" w:color="auto" w:fill="D9D9D9" w:themeFill="background1" w:themeFillShade="D9"/>
          </w:tcPr>
          <w:p w:rsidR="00D43991" w:rsidRPr="00D43991" w:rsidRDefault="00D43991" w:rsidP="001C1D99">
            <w:r>
              <w:t>Y</w:t>
            </w:r>
          </w:p>
        </w:tc>
        <w:tc>
          <w:tcPr>
            <w:tcW w:w="359" w:type="dxa"/>
            <w:shd w:val="clear" w:color="auto" w:fill="D9D9D9" w:themeFill="background1" w:themeFillShade="D9"/>
          </w:tcPr>
          <w:p w:rsidR="00D43991" w:rsidRPr="00D43991" w:rsidRDefault="00D43991" w:rsidP="001C1D99">
            <w:r>
              <w:t>N</w:t>
            </w:r>
          </w:p>
        </w:tc>
        <w:tc>
          <w:tcPr>
            <w:tcW w:w="391" w:type="dxa"/>
            <w:shd w:val="clear" w:color="auto" w:fill="D9D9D9" w:themeFill="background1" w:themeFillShade="D9"/>
          </w:tcPr>
          <w:p w:rsidR="00D43991" w:rsidRPr="00D43991" w:rsidRDefault="00D43991" w:rsidP="001C1D99">
            <w:r>
              <w:t>?</w:t>
            </w:r>
          </w:p>
        </w:tc>
        <w:tc>
          <w:tcPr>
            <w:tcW w:w="3852" w:type="dxa"/>
            <w:shd w:val="clear" w:color="auto" w:fill="D9D9D9" w:themeFill="background1" w:themeFillShade="D9"/>
          </w:tcPr>
          <w:p w:rsidR="00D43991" w:rsidRPr="00D43991" w:rsidRDefault="00A760B0" w:rsidP="001C1D99">
            <w:r w:rsidRPr="00A760B0">
              <w:rPr>
                <w:b/>
              </w:rPr>
              <w:t>Comments / Actions</w:t>
            </w:r>
          </w:p>
        </w:tc>
      </w:tr>
      <w:tr w:rsidR="00D43991" w:rsidRPr="00D43991" w:rsidTr="001C1D99">
        <w:tc>
          <w:tcPr>
            <w:tcW w:w="4214" w:type="dxa"/>
          </w:tcPr>
          <w:p w:rsidR="00D43991" w:rsidRPr="004C2642" w:rsidRDefault="00D43991" w:rsidP="00D43991">
            <w:r w:rsidRPr="004C2642">
              <w:t>Do you have practical strategies in place to promote good staff wellbeing? For example:</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4C2642" w:rsidRDefault="00D43991" w:rsidP="00D43991">
            <w:r w:rsidRPr="004C2642">
              <w:t>Providing staff mindfulness, relaxation and managing stress sessions.</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4C2642" w:rsidRDefault="00D43991" w:rsidP="00D43991">
            <w:r w:rsidRPr="004C2642">
              <w:t>Offering resilience-based workshops for staff to help normalise the process of speaking about wellbeing.</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4C2642" w:rsidRDefault="00D43991" w:rsidP="00D43991">
            <w:r w:rsidRPr="004C2642">
              <w:t>Teacher appraisal that is encouraging and that concentrates on the ‘praise’ aspect. Targets should be realistic and concentrate on raising standards of children.</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4C2642" w:rsidRDefault="00D43991" w:rsidP="00D43991">
            <w:r w:rsidRPr="004C2642">
              <w:t>Encouraging staff to buddy up with colleagues to support each other in providing opportunities for reflective practice and problem-solving school-based challenges</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4C2642" w:rsidRDefault="00D43991" w:rsidP="00D43991">
            <w:r w:rsidRPr="004C2642">
              <w:t>Creating a sense of belonging to the school (e.g. through team development opportunities).</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Default="00D43991" w:rsidP="00D43991">
            <w:r w:rsidRPr="004C2642">
              <w:t>Making staff recognition and praise a part of your school’s culture – setting aside regular time slots in meetings to do this.</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Default="00D43991" w:rsidP="00D43991">
            <w:r>
              <w:t>Other</w:t>
            </w:r>
          </w:p>
          <w:p w:rsidR="00D43991" w:rsidRPr="004C2642" w:rsidRDefault="00D43991" w:rsidP="00D43991"/>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bl>
    <w:p w:rsidR="00D43991" w:rsidRDefault="00D43991" w:rsidP="00D43991"/>
    <w:tbl>
      <w:tblPr>
        <w:tblStyle w:val="TableGrid"/>
        <w:tblW w:w="0" w:type="auto"/>
        <w:tblInd w:w="-147" w:type="dxa"/>
        <w:tblLook w:val="04A0" w:firstRow="1" w:lastRow="0" w:firstColumn="1" w:lastColumn="0" w:noHBand="0" w:noVBand="1"/>
      </w:tblPr>
      <w:tblGrid>
        <w:gridCol w:w="4214"/>
        <w:gridCol w:w="347"/>
        <w:gridCol w:w="359"/>
        <w:gridCol w:w="391"/>
        <w:gridCol w:w="3852"/>
      </w:tblGrid>
      <w:tr w:rsidR="00D43991" w:rsidRPr="00D43991" w:rsidTr="00A760B0">
        <w:tc>
          <w:tcPr>
            <w:tcW w:w="4214" w:type="dxa"/>
            <w:shd w:val="clear" w:color="auto" w:fill="D9D9D9" w:themeFill="background1" w:themeFillShade="D9"/>
          </w:tcPr>
          <w:p w:rsidR="00D43991" w:rsidRPr="00D43991" w:rsidRDefault="00D43991" w:rsidP="001C1D99">
            <w:r>
              <w:t>Specialist</w:t>
            </w:r>
          </w:p>
        </w:tc>
        <w:tc>
          <w:tcPr>
            <w:tcW w:w="347" w:type="dxa"/>
            <w:shd w:val="clear" w:color="auto" w:fill="D9D9D9" w:themeFill="background1" w:themeFillShade="D9"/>
          </w:tcPr>
          <w:p w:rsidR="00D43991" w:rsidRPr="00D43991" w:rsidRDefault="00D43991" w:rsidP="001C1D99">
            <w:r>
              <w:t>Y</w:t>
            </w:r>
          </w:p>
        </w:tc>
        <w:tc>
          <w:tcPr>
            <w:tcW w:w="359" w:type="dxa"/>
            <w:shd w:val="clear" w:color="auto" w:fill="D9D9D9" w:themeFill="background1" w:themeFillShade="D9"/>
          </w:tcPr>
          <w:p w:rsidR="00D43991" w:rsidRPr="00D43991" w:rsidRDefault="00D43991" w:rsidP="001C1D99">
            <w:r>
              <w:t>N</w:t>
            </w:r>
          </w:p>
        </w:tc>
        <w:tc>
          <w:tcPr>
            <w:tcW w:w="391" w:type="dxa"/>
            <w:shd w:val="clear" w:color="auto" w:fill="D9D9D9" w:themeFill="background1" w:themeFillShade="D9"/>
          </w:tcPr>
          <w:p w:rsidR="00D43991" w:rsidRPr="00D43991" w:rsidRDefault="00D43991" w:rsidP="001C1D99">
            <w:r>
              <w:t>?</w:t>
            </w:r>
          </w:p>
        </w:tc>
        <w:tc>
          <w:tcPr>
            <w:tcW w:w="3852" w:type="dxa"/>
            <w:shd w:val="clear" w:color="auto" w:fill="D9D9D9" w:themeFill="background1" w:themeFillShade="D9"/>
          </w:tcPr>
          <w:p w:rsidR="00D43991" w:rsidRPr="00D43991" w:rsidRDefault="00A760B0" w:rsidP="001C1D99">
            <w:r w:rsidRPr="00A760B0">
              <w:rPr>
                <w:b/>
              </w:rPr>
              <w:t>Comments / Actions</w:t>
            </w:r>
          </w:p>
        </w:tc>
      </w:tr>
      <w:tr w:rsidR="00D43991" w:rsidRPr="00D43991" w:rsidTr="001C1D99">
        <w:tc>
          <w:tcPr>
            <w:tcW w:w="4214" w:type="dxa"/>
          </w:tcPr>
          <w:p w:rsidR="00D43991" w:rsidRPr="00736A94" w:rsidRDefault="00D43991" w:rsidP="00D43991">
            <w:r w:rsidRPr="00736A94">
              <w:t>Are staff and the school leadership team confident and encouraged to notice and offer support early when a colleague’s wellbeing is under threat? Early problem solving and support can help de-escalate difficulties.</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736A94" w:rsidRDefault="00D43991" w:rsidP="00D43991">
            <w:r w:rsidRPr="00736A94">
              <w:t>Is there clear information for staff about how they can get help inside and outside the school environment if they need it? Does the school have a confidential employee assistance programme and do staff know how to access it?</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Pr="00736A94" w:rsidRDefault="00D43991" w:rsidP="00D43991">
            <w:r w:rsidRPr="00736A94">
              <w:t>Is there advice and guidance for senior staff about supporting a member of staff with mental health difficulties?</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r w:rsidR="00D43991" w:rsidRPr="00D43991" w:rsidTr="001C1D99">
        <w:tc>
          <w:tcPr>
            <w:tcW w:w="4214" w:type="dxa"/>
          </w:tcPr>
          <w:p w:rsidR="00D43991" w:rsidRDefault="00D43991" w:rsidP="00D43991">
            <w:r w:rsidRPr="00736A94">
              <w:t>Are there good training and development opportunities for staff at every level? These opportunities can often be reduced due to increasing budget pressures. However, studies show that continuing professional development increases job satisfaction and contributes</w:t>
            </w:r>
            <w:r w:rsidR="00C60786">
              <w:t xml:space="preserve"> to good health and wellbeing.</w:t>
            </w:r>
          </w:p>
        </w:tc>
        <w:tc>
          <w:tcPr>
            <w:tcW w:w="347" w:type="dxa"/>
          </w:tcPr>
          <w:p w:rsidR="00D43991" w:rsidRPr="00D43991" w:rsidRDefault="00D43991" w:rsidP="00D43991"/>
        </w:tc>
        <w:tc>
          <w:tcPr>
            <w:tcW w:w="359" w:type="dxa"/>
          </w:tcPr>
          <w:p w:rsidR="00D43991" w:rsidRPr="00D43991" w:rsidRDefault="00D43991" w:rsidP="00D43991"/>
        </w:tc>
        <w:tc>
          <w:tcPr>
            <w:tcW w:w="391" w:type="dxa"/>
          </w:tcPr>
          <w:p w:rsidR="00D43991" w:rsidRPr="00D43991" w:rsidRDefault="00D43991" w:rsidP="00D43991"/>
        </w:tc>
        <w:tc>
          <w:tcPr>
            <w:tcW w:w="3852" w:type="dxa"/>
          </w:tcPr>
          <w:p w:rsidR="00D43991" w:rsidRPr="00D43991" w:rsidRDefault="00D43991" w:rsidP="00D43991"/>
        </w:tc>
      </w:tr>
    </w:tbl>
    <w:p w:rsidR="00D43991" w:rsidRDefault="00D43991" w:rsidP="00D43991"/>
    <w:sectPr w:rsidR="00D43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C12"/>
    <w:multiLevelType w:val="hybridMultilevel"/>
    <w:tmpl w:val="99FA8A74"/>
    <w:lvl w:ilvl="0" w:tplc="2DAA55A2">
      <w:start w:val="1"/>
      <w:numFmt w:val="bullet"/>
      <w:lvlText w:val="•"/>
      <w:lvlJc w:val="left"/>
      <w:pPr>
        <w:tabs>
          <w:tab w:val="num" w:pos="360"/>
        </w:tabs>
        <w:ind w:left="360" w:hanging="360"/>
      </w:pPr>
      <w:rPr>
        <w:rFonts w:ascii="Arial" w:hAnsi="Arial" w:hint="default"/>
      </w:rPr>
    </w:lvl>
    <w:lvl w:ilvl="1" w:tplc="C038A11E" w:tentative="1">
      <w:start w:val="1"/>
      <w:numFmt w:val="bullet"/>
      <w:lvlText w:val="•"/>
      <w:lvlJc w:val="left"/>
      <w:pPr>
        <w:tabs>
          <w:tab w:val="num" w:pos="1080"/>
        </w:tabs>
        <w:ind w:left="1080" w:hanging="360"/>
      </w:pPr>
      <w:rPr>
        <w:rFonts w:ascii="Arial" w:hAnsi="Arial" w:hint="default"/>
      </w:rPr>
    </w:lvl>
    <w:lvl w:ilvl="2" w:tplc="A1887E02" w:tentative="1">
      <w:start w:val="1"/>
      <w:numFmt w:val="bullet"/>
      <w:lvlText w:val="•"/>
      <w:lvlJc w:val="left"/>
      <w:pPr>
        <w:tabs>
          <w:tab w:val="num" w:pos="1800"/>
        </w:tabs>
        <w:ind w:left="1800" w:hanging="360"/>
      </w:pPr>
      <w:rPr>
        <w:rFonts w:ascii="Arial" w:hAnsi="Arial" w:hint="default"/>
      </w:rPr>
    </w:lvl>
    <w:lvl w:ilvl="3" w:tplc="7D06CFEA" w:tentative="1">
      <w:start w:val="1"/>
      <w:numFmt w:val="bullet"/>
      <w:lvlText w:val="•"/>
      <w:lvlJc w:val="left"/>
      <w:pPr>
        <w:tabs>
          <w:tab w:val="num" w:pos="2520"/>
        </w:tabs>
        <w:ind w:left="2520" w:hanging="360"/>
      </w:pPr>
      <w:rPr>
        <w:rFonts w:ascii="Arial" w:hAnsi="Arial" w:hint="default"/>
      </w:rPr>
    </w:lvl>
    <w:lvl w:ilvl="4" w:tplc="CB5C2FD0" w:tentative="1">
      <w:start w:val="1"/>
      <w:numFmt w:val="bullet"/>
      <w:lvlText w:val="•"/>
      <w:lvlJc w:val="left"/>
      <w:pPr>
        <w:tabs>
          <w:tab w:val="num" w:pos="3240"/>
        </w:tabs>
        <w:ind w:left="3240" w:hanging="360"/>
      </w:pPr>
      <w:rPr>
        <w:rFonts w:ascii="Arial" w:hAnsi="Arial" w:hint="default"/>
      </w:rPr>
    </w:lvl>
    <w:lvl w:ilvl="5" w:tplc="BE8A43D4" w:tentative="1">
      <w:start w:val="1"/>
      <w:numFmt w:val="bullet"/>
      <w:lvlText w:val="•"/>
      <w:lvlJc w:val="left"/>
      <w:pPr>
        <w:tabs>
          <w:tab w:val="num" w:pos="3960"/>
        </w:tabs>
        <w:ind w:left="3960" w:hanging="360"/>
      </w:pPr>
      <w:rPr>
        <w:rFonts w:ascii="Arial" w:hAnsi="Arial" w:hint="default"/>
      </w:rPr>
    </w:lvl>
    <w:lvl w:ilvl="6" w:tplc="7F0C4CCC" w:tentative="1">
      <w:start w:val="1"/>
      <w:numFmt w:val="bullet"/>
      <w:lvlText w:val="•"/>
      <w:lvlJc w:val="left"/>
      <w:pPr>
        <w:tabs>
          <w:tab w:val="num" w:pos="4680"/>
        </w:tabs>
        <w:ind w:left="4680" w:hanging="360"/>
      </w:pPr>
      <w:rPr>
        <w:rFonts w:ascii="Arial" w:hAnsi="Arial" w:hint="default"/>
      </w:rPr>
    </w:lvl>
    <w:lvl w:ilvl="7" w:tplc="C6508C24" w:tentative="1">
      <w:start w:val="1"/>
      <w:numFmt w:val="bullet"/>
      <w:lvlText w:val="•"/>
      <w:lvlJc w:val="left"/>
      <w:pPr>
        <w:tabs>
          <w:tab w:val="num" w:pos="5400"/>
        </w:tabs>
        <w:ind w:left="5400" w:hanging="360"/>
      </w:pPr>
      <w:rPr>
        <w:rFonts w:ascii="Arial" w:hAnsi="Arial" w:hint="default"/>
      </w:rPr>
    </w:lvl>
    <w:lvl w:ilvl="8" w:tplc="E14820C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77615E7"/>
    <w:multiLevelType w:val="hybridMultilevel"/>
    <w:tmpl w:val="D95EA4EA"/>
    <w:lvl w:ilvl="0" w:tplc="3D7C5048">
      <w:start w:val="1"/>
      <w:numFmt w:val="bullet"/>
      <w:lvlText w:val="•"/>
      <w:lvlJc w:val="left"/>
      <w:pPr>
        <w:tabs>
          <w:tab w:val="num" w:pos="720"/>
        </w:tabs>
        <w:ind w:left="720" w:hanging="360"/>
      </w:pPr>
      <w:rPr>
        <w:rFonts w:ascii="Arial" w:hAnsi="Arial" w:hint="default"/>
      </w:rPr>
    </w:lvl>
    <w:lvl w:ilvl="1" w:tplc="748A4714" w:tentative="1">
      <w:start w:val="1"/>
      <w:numFmt w:val="bullet"/>
      <w:lvlText w:val="•"/>
      <w:lvlJc w:val="left"/>
      <w:pPr>
        <w:tabs>
          <w:tab w:val="num" w:pos="1440"/>
        </w:tabs>
        <w:ind w:left="1440" w:hanging="360"/>
      </w:pPr>
      <w:rPr>
        <w:rFonts w:ascii="Arial" w:hAnsi="Arial" w:hint="default"/>
      </w:rPr>
    </w:lvl>
    <w:lvl w:ilvl="2" w:tplc="2C588F80" w:tentative="1">
      <w:start w:val="1"/>
      <w:numFmt w:val="bullet"/>
      <w:lvlText w:val="•"/>
      <w:lvlJc w:val="left"/>
      <w:pPr>
        <w:tabs>
          <w:tab w:val="num" w:pos="2160"/>
        </w:tabs>
        <w:ind w:left="2160" w:hanging="360"/>
      </w:pPr>
      <w:rPr>
        <w:rFonts w:ascii="Arial" w:hAnsi="Arial" w:hint="default"/>
      </w:rPr>
    </w:lvl>
    <w:lvl w:ilvl="3" w:tplc="A17EDAE6" w:tentative="1">
      <w:start w:val="1"/>
      <w:numFmt w:val="bullet"/>
      <w:lvlText w:val="•"/>
      <w:lvlJc w:val="left"/>
      <w:pPr>
        <w:tabs>
          <w:tab w:val="num" w:pos="2880"/>
        </w:tabs>
        <w:ind w:left="2880" w:hanging="360"/>
      </w:pPr>
      <w:rPr>
        <w:rFonts w:ascii="Arial" w:hAnsi="Arial" w:hint="default"/>
      </w:rPr>
    </w:lvl>
    <w:lvl w:ilvl="4" w:tplc="4538DA04" w:tentative="1">
      <w:start w:val="1"/>
      <w:numFmt w:val="bullet"/>
      <w:lvlText w:val="•"/>
      <w:lvlJc w:val="left"/>
      <w:pPr>
        <w:tabs>
          <w:tab w:val="num" w:pos="3600"/>
        </w:tabs>
        <w:ind w:left="3600" w:hanging="360"/>
      </w:pPr>
      <w:rPr>
        <w:rFonts w:ascii="Arial" w:hAnsi="Arial" w:hint="default"/>
      </w:rPr>
    </w:lvl>
    <w:lvl w:ilvl="5" w:tplc="57F6FC06" w:tentative="1">
      <w:start w:val="1"/>
      <w:numFmt w:val="bullet"/>
      <w:lvlText w:val="•"/>
      <w:lvlJc w:val="left"/>
      <w:pPr>
        <w:tabs>
          <w:tab w:val="num" w:pos="4320"/>
        </w:tabs>
        <w:ind w:left="4320" w:hanging="360"/>
      </w:pPr>
      <w:rPr>
        <w:rFonts w:ascii="Arial" w:hAnsi="Arial" w:hint="default"/>
      </w:rPr>
    </w:lvl>
    <w:lvl w:ilvl="6" w:tplc="F3E2CAF0" w:tentative="1">
      <w:start w:val="1"/>
      <w:numFmt w:val="bullet"/>
      <w:lvlText w:val="•"/>
      <w:lvlJc w:val="left"/>
      <w:pPr>
        <w:tabs>
          <w:tab w:val="num" w:pos="5040"/>
        </w:tabs>
        <w:ind w:left="5040" w:hanging="360"/>
      </w:pPr>
      <w:rPr>
        <w:rFonts w:ascii="Arial" w:hAnsi="Arial" w:hint="default"/>
      </w:rPr>
    </w:lvl>
    <w:lvl w:ilvl="7" w:tplc="16F0482E" w:tentative="1">
      <w:start w:val="1"/>
      <w:numFmt w:val="bullet"/>
      <w:lvlText w:val="•"/>
      <w:lvlJc w:val="left"/>
      <w:pPr>
        <w:tabs>
          <w:tab w:val="num" w:pos="5760"/>
        </w:tabs>
        <w:ind w:left="5760" w:hanging="360"/>
      </w:pPr>
      <w:rPr>
        <w:rFonts w:ascii="Arial" w:hAnsi="Arial" w:hint="default"/>
      </w:rPr>
    </w:lvl>
    <w:lvl w:ilvl="8" w:tplc="9000E7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1D5FBF"/>
    <w:multiLevelType w:val="hybridMultilevel"/>
    <w:tmpl w:val="DEE6D1EE"/>
    <w:lvl w:ilvl="0" w:tplc="3F0AC2C8">
      <w:start w:val="1"/>
      <w:numFmt w:val="bullet"/>
      <w:lvlText w:val="•"/>
      <w:lvlJc w:val="left"/>
      <w:pPr>
        <w:tabs>
          <w:tab w:val="num" w:pos="720"/>
        </w:tabs>
        <w:ind w:left="720" w:hanging="360"/>
      </w:pPr>
      <w:rPr>
        <w:rFonts w:ascii="Arial" w:hAnsi="Arial" w:hint="default"/>
      </w:rPr>
    </w:lvl>
    <w:lvl w:ilvl="1" w:tplc="E8CEE270" w:tentative="1">
      <w:start w:val="1"/>
      <w:numFmt w:val="bullet"/>
      <w:lvlText w:val="•"/>
      <w:lvlJc w:val="left"/>
      <w:pPr>
        <w:tabs>
          <w:tab w:val="num" w:pos="1440"/>
        </w:tabs>
        <w:ind w:left="1440" w:hanging="360"/>
      </w:pPr>
      <w:rPr>
        <w:rFonts w:ascii="Arial" w:hAnsi="Arial" w:hint="default"/>
      </w:rPr>
    </w:lvl>
    <w:lvl w:ilvl="2" w:tplc="5DD65422" w:tentative="1">
      <w:start w:val="1"/>
      <w:numFmt w:val="bullet"/>
      <w:lvlText w:val="•"/>
      <w:lvlJc w:val="left"/>
      <w:pPr>
        <w:tabs>
          <w:tab w:val="num" w:pos="2160"/>
        </w:tabs>
        <w:ind w:left="2160" w:hanging="360"/>
      </w:pPr>
      <w:rPr>
        <w:rFonts w:ascii="Arial" w:hAnsi="Arial" w:hint="default"/>
      </w:rPr>
    </w:lvl>
    <w:lvl w:ilvl="3" w:tplc="3290172E" w:tentative="1">
      <w:start w:val="1"/>
      <w:numFmt w:val="bullet"/>
      <w:lvlText w:val="•"/>
      <w:lvlJc w:val="left"/>
      <w:pPr>
        <w:tabs>
          <w:tab w:val="num" w:pos="2880"/>
        </w:tabs>
        <w:ind w:left="2880" w:hanging="360"/>
      </w:pPr>
      <w:rPr>
        <w:rFonts w:ascii="Arial" w:hAnsi="Arial" w:hint="default"/>
      </w:rPr>
    </w:lvl>
    <w:lvl w:ilvl="4" w:tplc="89DC5196" w:tentative="1">
      <w:start w:val="1"/>
      <w:numFmt w:val="bullet"/>
      <w:lvlText w:val="•"/>
      <w:lvlJc w:val="left"/>
      <w:pPr>
        <w:tabs>
          <w:tab w:val="num" w:pos="3600"/>
        </w:tabs>
        <w:ind w:left="3600" w:hanging="360"/>
      </w:pPr>
      <w:rPr>
        <w:rFonts w:ascii="Arial" w:hAnsi="Arial" w:hint="default"/>
      </w:rPr>
    </w:lvl>
    <w:lvl w:ilvl="5" w:tplc="66FA08C4" w:tentative="1">
      <w:start w:val="1"/>
      <w:numFmt w:val="bullet"/>
      <w:lvlText w:val="•"/>
      <w:lvlJc w:val="left"/>
      <w:pPr>
        <w:tabs>
          <w:tab w:val="num" w:pos="4320"/>
        </w:tabs>
        <w:ind w:left="4320" w:hanging="360"/>
      </w:pPr>
      <w:rPr>
        <w:rFonts w:ascii="Arial" w:hAnsi="Arial" w:hint="default"/>
      </w:rPr>
    </w:lvl>
    <w:lvl w:ilvl="6" w:tplc="B3FAF27C" w:tentative="1">
      <w:start w:val="1"/>
      <w:numFmt w:val="bullet"/>
      <w:lvlText w:val="•"/>
      <w:lvlJc w:val="left"/>
      <w:pPr>
        <w:tabs>
          <w:tab w:val="num" w:pos="5040"/>
        </w:tabs>
        <w:ind w:left="5040" w:hanging="360"/>
      </w:pPr>
      <w:rPr>
        <w:rFonts w:ascii="Arial" w:hAnsi="Arial" w:hint="default"/>
      </w:rPr>
    </w:lvl>
    <w:lvl w:ilvl="7" w:tplc="2D384B00" w:tentative="1">
      <w:start w:val="1"/>
      <w:numFmt w:val="bullet"/>
      <w:lvlText w:val="•"/>
      <w:lvlJc w:val="left"/>
      <w:pPr>
        <w:tabs>
          <w:tab w:val="num" w:pos="5760"/>
        </w:tabs>
        <w:ind w:left="5760" w:hanging="360"/>
      </w:pPr>
      <w:rPr>
        <w:rFonts w:ascii="Arial" w:hAnsi="Arial" w:hint="default"/>
      </w:rPr>
    </w:lvl>
    <w:lvl w:ilvl="8" w:tplc="9760C9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91"/>
    <w:rsid w:val="00135A1A"/>
    <w:rsid w:val="008F65A4"/>
    <w:rsid w:val="00A760B0"/>
    <w:rsid w:val="00C60786"/>
    <w:rsid w:val="00D43991"/>
    <w:rsid w:val="00F4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E81C"/>
  <w15:chartTrackingRefBased/>
  <w15:docId w15:val="{0917ABF2-3C7A-459B-A21A-C3D72980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399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1975">
      <w:bodyDiv w:val="1"/>
      <w:marLeft w:val="0"/>
      <w:marRight w:val="0"/>
      <w:marTop w:val="0"/>
      <w:marBottom w:val="0"/>
      <w:divBdr>
        <w:top w:val="none" w:sz="0" w:space="0" w:color="auto"/>
        <w:left w:val="none" w:sz="0" w:space="0" w:color="auto"/>
        <w:bottom w:val="none" w:sz="0" w:space="0" w:color="auto"/>
        <w:right w:val="none" w:sz="0" w:space="0" w:color="auto"/>
      </w:divBdr>
      <w:divsChild>
        <w:div w:id="1178887536">
          <w:marLeft w:val="360"/>
          <w:marRight w:val="0"/>
          <w:marTop w:val="200"/>
          <w:marBottom w:val="0"/>
          <w:divBdr>
            <w:top w:val="none" w:sz="0" w:space="0" w:color="auto"/>
            <w:left w:val="none" w:sz="0" w:space="0" w:color="auto"/>
            <w:bottom w:val="none" w:sz="0" w:space="0" w:color="auto"/>
            <w:right w:val="none" w:sz="0" w:space="0" w:color="auto"/>
          </w:divBdr>
        </w:div>
        <w:div w:id="2042198120">
          <w:marLeft w:val="360"/>
          <w:marRight w:val="0"/>
          <w:marTop w:val="200"/>
          <w:marBottom w:val="0"/>
          <w:divBdr>
            <w:top w:val="none" w:sz="0" w:space="0" w:color="auto"/>
            <w:left w:val="none" w:sz="0" w:space="0" w:color="auto"/>
            <w:bottom w:val="none" w:sz="0" w:space="0" w:color="auto"/>
            <w:right w:val="none" w:sz="0" w:space="0" w:color="auto"/>
          </w:divBdr>
        </w:div>
        <w:div w:id="2128043005">
          <w:marLeft w:val="360"/>
          <w:marRight w:val="0"/>
          <w:marTop w:val="200"/>
          <w:marBottom w:val="0"/>
          <w:divBdr>
            <w:top w:val="none" w:sz="0" w:space="0" w:color="auto"/>
            <w:left w:val="none" w:sz="0" w:space="0" w:color="auto"/>
            <w:bottom w:val="none" w:sz="0" w:space="0" w:color="auto"/>
            <w:right w:val="none" w:sz="0" w:space="0" w:color="auto"/>
          </w:divBdr>
        </w:div>
        <w:div w:id="1637220479">
          <w:marLeft w:val="360"/>
          <w:marRight w:val="0"/>
          <w:marTop w:val="200"/>
          <w:marBottom w:val="0"/>
          <w:divBdr>
            <w:top w:val="none" w:sz="0" w:space="0" w:color="auto"/>
            <w:left w:val="none" w:sz="0" w:space="0" w:color="auto"/>
            <w:bottom w:val="none" w:sz="0" w:space="0" w:color="auto"/>
            <w:right w:val="none" w:sz="0" w:space="0" w:color="auto"/>
          </w:divBdr>
        </w:div>
        <w:div w:id="22096331">
          <w:marLeft w:val="360"/>
          <w:marRight w:val="0"/>
          <w:marTop w:val="200"/>
          <w:marBottom w:val="0"/>
          <w:divBdr>
            <w:top w:val="none" w:sz="0" w:space="0" w:color="auto"/>
            <w:left w:val="none" w:sz="0" w:space="0" w:color="auto"/>
            <w:bottom w:val="none" w:sz="0" w:space="0" w:color="auto"/>
            <w:right w:val="none" w:sz="0" w:space="0" w:color="auto"/>
          </w:divBdr>
        </w:div>
        <w:div w:id="626159381">
          <w:marLeft w:val="360"/>
          <w:marRight w:val="0"/>
          <w:marTop w:val="200"/>
          <w:marBottom w:val="0"/>
          <w:divBdr>
            <w:top w:val="none" w:sz="0" w:space="0" w:color="auto"/>
            <w:left w:val="none" w:sz="0" w:space="0" w:color="auto"/>
            <w:bottom w:val="none" w:sz="0" w:space="0" w:color="auto"/>
            <w:right w:val="none" w:sz="0" w:space="0" w:color="auto"/>
          </w:divBdr>
        </w:div>
        <w:div w:id="1044016244">
          <w:marLeft w:val="360"/>
          <w:marRight w:val="0"/>
          <w:marTop w:val="200"/>
          <w:marBottom w:val="0"/>
          <w:divBdr>
            <w:top w:val="none" w:sz="0" w:space="0" w:color="auto"/>
            <w:left w:val="none" w:sz="0" w:space="0" w:color="auto"/>
            <w:bottom w:val="none" w:sz="0" w:space="0" w:color="auto"/>
            <w:right w:val="none" w:sz="0" w:space="0" w:color="auto"/>
          </w:divBdr>
        </w:div>
        <w:div w:id="1945118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Educational Psychology Team</dc:creator>
  <cp:keywords/>
  <dc:description/>
  <cp:lastModifiedBy>Educational Psychology Team</cp:lastModifiedBy>
  <cp:revision>1</cp:revision>
  <dcterms:created xsi:type="dcterms:W3CDTF">2021-02-02T10:32:00Z</dcterms:created>
  <dcterms:modified xsi:type="dcterms:W3CDTF">2021-02-02T11:07:00Z</dcterms:modified>
</cp:coreProperties>
</file>