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D3" w:rsidRPr="000000D3" w:rsidRDefault="000000D3" w:rsidP="000000D3">
      <w:pPr>
        <w:keepNext/>
        <w:keepLines/>
        <w:shd w:val="clear" w:color="auto" w:fill="00B050"/>
        <w:spacing w:before="120" w:after="10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bookmarkStart w:id="0" w:name="_Toc51755186"/>
      <w:r w:rsidRPr="000000D3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Record of Attainment - Language and Literacy</w:t>
      </w:r>
      <w:bookmarkEnd w:id="0"/>
    </w:p>
    <w:tbl>
      <w:tblPr>
        <w:tblStyle w:val="TableGrid2"/>
        <w:tblpPr w:leftFromText="180" w:rightFromText="180" w:vertAnchor="text" w:horzAnchor="margin" w:tblpY="328"/>
        <w:tblW w:w="9781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39"/>
        <w:gridCol w:w="430"/>
        <w:gridCol w:w="144"/>
        <w:gridCol w:w="155"/>
        <w:gridCol w:w="185"/>
        <w:gridCol w:w="837"/>
        <w:gridCol w:w="307"/>
        <w:gridCol w:w="126"/>
        <w:gridCol w:w="346"/>
        <w:gridCol w:w="244"/>
        <w:gridCol w:w="491"/>
        <w:gridCol w:w="431"/>
        <w:gridCol w:w="100"/>
        <w:gridCol w:w="1021"/>
        <w:gridCol w:w="757"/>
        <w:gridCol w:w="266"/>
        <w:gridCol w:w="1021"/>
        <w:gridCol w:w="1029"/>
      </w:tblGrid>
      <w:tr w:rsidR="000000D3" w:rsidRPr="000000D3" w:rsidTr="000000D3">
        <w:trPr>
          <w:trHeight w:val="569"/>
        </w:trPr>
        <w:tc>
          <w:tcPr>
            <w:tcW w:w="5156" w:type="dxa"/>
            <w:gridSpan w:val="12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 xml:space="preserve">Pupil Name:            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 xml:space="preserve">Year Group:                      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>Age:</w:t>
            </w:r>
          </w:p>
        </w:tc>
      </w:tr>
      <w:tr w:rsidR="000000D3" w:rsidRPr="000000D3" w:rsidTr="000000D3">
        <w:trPr>
          <w:trHeight w:val="569"/>
        </w:trPr>
        <w:tc>
          <w:tcPr>
            <w:tcW w:w="5156" w:type="dxa"/>
            <w:gridSpan w:val="12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>Assessor: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>Role: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>Date:</w:t>
            </w:r>
          </w:p>
        </w:tc>
      </w:tr>
      <w:tr w:rsidR="000000D3" w:rsidRPr="000000D3" w:rsidTr="000000D3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822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</w:p>
        </w:tc>
      </w:tr>
      <w:tr w:rsidR="000000D3" w:rsidRPr="000000D3" w:rsidTr="000000D3">
        <w:trPr>
          <w:trHeight w:val="388"/>
        </w:trPr>
        <w:tc>
          <w:tcPr>
            <w:tcW w:w="1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000000"/>
              </w:rPr>
              <w:t>Colour coding:</w:t>
            </w:r>
          </w:p>
        </w:tc>
        <w:tc>
          <w:tcPr>
            <w:tcW w:w="1068" w:type="dxa"/>
            <w:gridSpan w:val="4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PKSS 1</w:t>
            </w:r>
          </w:p>
        </w:tc>
        <w:tc>
          <w:tcPr>
            <w:tcW w:w="1022" w:type="dxa"/>
            <w:gridSpan w:val="2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PKSS 2</w:t>
            </w:r>
          </w:p>
        </w:tc>
        <w:tc>
          <w:tcPr>
            <w:tcW w:w="1023" w:type="dxa"/>
            <w:gridSpan w:val="4"/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PKSS 3</w:t>
            </w:r>
          </w:p>
        </w:tc>
        <w:tc>
          <w:tcPr>
            <w:tcW w:w="1022" w:type="dxa"/>
            <w:gridSpan w:val="3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PKSS 4</w:t>
            </w:r>
          </w:p>
        </w:tc>
        <w:tc>
          <w:tcPr>
            <w:tcW w:w="1021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PKSS 5(Y1)</w:t>
            </w:r>
          </w:p>
        </w:tc>
        <w:tc>
          <w:tcPr>
            <w:tcW w:w="1023" w:type="dxa"/>
            <w:gridSpan w:val="2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8"/>
                <w:szCs w:val="18"/>
              </w:rPr>
              <w:t>PKSS 6 (Y2)</w:t>
            </w:r>
          </w:p>
        </w:tc>
        <w:tc>
          <w:tcPr>
            <w:tcW w:w="1021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NCY3</w:t>
            </w:r>
          </w:p>
        </w:tc>
        <w:tc>
          <w:tcPr>
            <w:tcW w:w="1029" w:type="dxa"/>
            <w:shd w:val="clear" w:color="auto" w:fill="996633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NCY4</w:t>
            </w:r>
          </w:p>
        </w:tc>
      </w:tr>
      <w:tr w:rsidR="000000D3" w:rsidRPr="000000D3" w:rsidTr="000000D3">
        <w:trPr>
          <w:trHeight w:val="273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148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151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  <w:tc>
          <w:tcPr>
            <w:tcW w:w="41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color w:val="000000"/>
                <w:sz w:val="6"/>
                <w:szCs w:val="6"/>
              </w:rPr>
            </w:pPr>
          </w:p>
        </w:tc>
      </w:tr>
      <w:tr w:rsidR="000000D3" w:rsidRPr="000000D3" w:rsidTr="000000D3">
        <w:trPr>
          <w:gridAfter w:val="6"/>
          <w:wAfter w:w="4194" w:type="dxa"/>
          <w:trHeight w:val="70"/>
        </w:trPr>
        <w:tc>
          <w:tcPr>
            <w:tcW w:w="1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Key:</w:t>
            </w:r>
          </w:p>
        </w:tc>
        <w:tc>
          <w:tcPr>
            <w:tcW w:w="339" w:type="dxa"/>
            <w:shd w:val="clear" w:color="auto" w:fill="BFBFB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  <w:sz w:val="8"/>
                <w:szCs w:val="8"/>
              </w:rPr>
            </w:pPr>
          </w:p>
        </w:tc>
        <w:tc>
          <w:tcPr>
            <w:tcW w:w="340" w:type="dxa"/>
            <w:gridSpan w:val="2"/>
            <w:shd w:val="clear" w:color="auto" w:fill="BFBFB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emerging</w:t>
            </w:r>
          </w:p>
        </w:tc>
        <w:tc>
          <w:tcPr>
            <w:tcW w:w="126" w:type="dxa"/>
            <w:tcBorders>
              <w:top w:val="nil"/>
              <w:bottom w:val="nil"/>
            </w:tcBorders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BFBFB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secure</w:t>
            </w:r>
          </w:p>
        </w:tc>
      </w:tr>
    </w:tbl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0000D3">
        <w:rPr>
          <w:rFonts w:ascii="Calibri" w:eastAsia="Calibri" w:hAnsi="Calibri" w:cs="Times New Roman"/>
          <w:sz w:val="16"/>
          <w:szCs w:val="16"/>
        </w:rPr>
        <w:t xml:space="preserve"> (Assessment tools to support the assessment process are noted in brackets)</w:t>
      </w:r>
    </w:p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</w:p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t xml:space="preserve"> (Assessment Tool. 1)</w:t>
      </w:r>
    </w:p>
    <w:tbl>
      <w:tblPr>
        <w:tblStyle w:val="TableGrid2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567"/>
        <w:gridCol w:w="567"/>
        <w:gridCol w:w="567"/>
        <w:gridCol w:w="567"/>
        <w:gridCol w:w="1134"/>
      </w:tblGrid>
      <w:tr w:rsidR="000000D3" w:rsidRPr="000000D3" w:rsidTr="000000D3">
        <w:trPr>
          <w:trHeight w:val="20"/>
          <w:tblHeader/>
        </w:trPr>
        <w:tc>
          <w:tcPr>
            <w:tcW w:w="640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Language and Reading Comprehension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Date Achieved</w:t>
            </w:r>
          </w:p>
        </w:tc>
      </w:tr>
      <w:tr w:rsidR="000000D3" w:rsidRPr="000000D3" w:rsidTr="0045764E">
        <w:trPr>
          <w:trHeight w:val="20"/>
        </w:trPr>
        <w:tc>
          <w:tcPr>
            <w:tcW w:w="9809" w:type="dxa"/>
            <w:gridSpan w:val="6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In a familiar story or rhyme read to them by an adult:</w:t>
            </w: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indicate correctly pictures of characters and objects when sharing a familiar book with an adult.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use pictures to answer basic naming questions.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join in with the refrain/repeat some words/rhyming words with prompts.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join in with the refrain/repeat some words/rhyming words without prompts.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answer more detailed literal questions about a story.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answer simple recall questions without using pictures.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sequence and retell key events using pictures.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retell some of the story (without pictures) and talk about the events, linking to their own experiences.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make simple inferences.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9809" w:type="dxa"/>
            <w:gridSpan w:val="6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In a book they can read themselves fluently:</w:t>
            </w: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self-correct their reading when it doesn’t make sense.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retell a story that they read to you.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answer a range of questions including inference questions about what they have read.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9809" w:type="dxa"/>
            <w:gridSpan w:val="6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In a wide range of books, poetry and non-fiction texts that they can listen to and/or read themselves:</w:t>
            </w: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predict what might happen next.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improve their understanding of what they have read through asking questions.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draw inferences from their reading and justify their inferences with evidence.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identify themes, conventions and main ideas and summarise these.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discuss words/phrases that capture the reader’s interest/imagination.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retrieve and record information from non-fiction texts.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use dictionaries to check meaning of words they have read.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justify their viewpoint of what they have read with support.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  <w:shd w:val="clear" w:color="auto" w:fill="auto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justify their viewpoint of what they have read independently.</w:t>
            </w:r>
          </w:p>
        </w:tc>
        <w:tc>
          <w:tcPr>
            <w:tcW w:w="567" w:type="dxa"/>
            <w:shd w:val="clear" w:color="auto" w:fill="996633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br w:type="page"/>
      </w:r>
    </w:p>
    <w:tbl>
      <w:tblPr>
        <w:tblStyle w:val="TableGrid2"/>
        <w:tblpPr w:leftFromText="180" w:rightFromText="180" w:vertAnchor="page" w:horzAnchor="margin" w:tblpY="1756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567"/>
        <w:gridCol w:w="567"/>
        <w:gridCol w:w="567"/>
        <w:gridCol w:w="567"/>
        <w:gridCol w:w="1134"/>
      </w:tblGrid>
      <w:tr w:rsidR="000000D3" w:rsidRPr="000000D3" w:rsidTr="000000D3">
        <w:trPr>
          <w:trHeight w:val="20"/>
        </w:trPr>
        <w:tc>
          <w:tcPr>
            <w:tcW w:w="640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lastRenderedPageBreak/>
              <w:t>Phonological Awareness Skills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Date Achieved</w:t>
            </w: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tell you the number of words in a sentence given verbally.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tell you how may sounds in a word given verbally.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find pictures of words or objects that begin with a given letter.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blend sounds given verbally to make a </w:t>
            </w:r>
            <w:proofErr w:type="gramStart"/>
            <w:r w:rsidRPr="000000D3">
              <w:rPr>
                <w:rFonts w:ascii="Calibri" w:eastAsia="Calibri" w:hAnsi="Calibri" w:cs="Times New Roman"/>
              </w:rPr>
              <w:t>word.</w:t>
            </w:r>
            <w:proofErr w:type="gramEnd"/>
            <w:r w:rsidRPr="000000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tell you how may </w:t>
            </w:r>
            <w:proofErr w:type="gramStart"/>
            <w:r w:rsidRPr="000000D3">
              <w:rPr>
                <w:rFonts w:ascii="Calibri" w:eastAsia="Calibri" w:hAnsi="Calibri" w:cs="Times New Roman"/>
              </w:rPr>
              <w:t>sounds</w:t>
            </w:r>
            <w:proofErr w:type="gramEnd"/>
            <w:r w:rsidRPr="000000D3">
              <w:rPr>
                <w:rFonts w:ascii="Calibri" w:eastAsia="Calibri" w:hAnsi="Calibri" w:cs="Times New Roman"/>
              </w:rPr>
              <w:t xml:space="preserve"> are in a word given verbally. 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say the beginning sound in a word given verbally.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say the middle sound in a word given verbally.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say the end sound in a word given verbally.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45764E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count the beats (syllables) in words.</w:t>
            </w:r>
          </w:p>
        </w:tc>
        <w:tc>
          <w:tcPr>
            <w:tcW w:w="567" w:type="dxa"/>
            <w:shd w:val="clear" w:color="auto" w:fill="FFC000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t xml:space="preserve"> (Assessment Tool. 2)</w:t>
      </w:r>
    </w:p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</w:p>
    <w:p w:rsidR="000000D3" w:rsidRPr="000000D3" w:rsidRDefault="00D84BF6" w:rsidP="000000D3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(</w:t>
      </w:r>
      <w:bookmarkStart w:id="1" w:name="_GoBack"/>
      <w:r>
        <w:rPr>
          <w:rFonts w:ascii="Calibri" w:eastAsia="Calibri" w:hAnsi="Calibri" w:cs="Times New Roman"/>
          <w:b/>
        </w:rPr>
        <w:t>Assessment Tools 3,4,</w:t>
      </w:r>
      <w:r w:rsidR="000000D3" w:rsidRPr="000000D3">
        <w:rPr>
          <w:rFonts w:ascii="Calibri" w:eastAsia="Calibri" w:hAnsi="Calibri" w:cs="Times New Roman"/>
          <w:b/>
        </w:rPr>
        <w:t>5</w:t>
      </w:r>
      <w:bookmarkEnd w:id="1"/>
      <w:r w:rsidR="000000D3" w:rsidRPr="000000D3">
        <w:rPr>
          <w:rFonts w:ascii="Calibri" w:eastAsia="Calibri" w:hAnsi="Calibri" w:cs="Times New Roman"/>
          <w:b/>
        </w:rPr>
        <w:t>)</w:t>
      </w:r>
    </w:p>
    <w:tbl>
      <w:tblPr>
        <w:tblStyle w:val="TableGrid2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567"/>
        <w:gridCol w:w="567"/>
        <w:gridCol w:w="567"/>
        <w:gridCol w:w="567"/>
        <w:gridCol w:w="1134"/>
      </w:tblGrid>
      <w:tr w:rsidR="000000D3" w:rsidRPr="000000D3" w:rsidTr="000000D3">
        <w:trPr>
          <w:trHeight w:val="20"/>
        </w:trPr>
        <w:tc>
          <w:tcPr>
            <w:tcW w:w="640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Reading – Word Level Skills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Date Achieved</w:t>
            </w: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say a single sound for 10+ graphemes 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words by blending sounds with known graphemes, with help from their teacher. 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say a single sound for 20+ graphemes 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accurately by blending the sounds in words with two and three known graphemes 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say sounds for 40+ graphemes, including one grapheme for each of the 40+ phonemes 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accurately by blending the sounds in words with up to five known graphemes 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some common exception words 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aloud books that are consistent with their phonic knowledge, without guessing words from pictures or the context of the sentence. 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accurately by blending the sounds in words that contain the common graphemes for all 40+ phonemes 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accurately some words of two or more syllables that contain the same grapheme-phoneme correspondences 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many common exception words 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0D3">
              <w:rPr>
                <w:rFonts w:ascii="Calibri" w:eastAsia="Calibri" w:hAnsi="Calibri" w:cs="Arial"/>
                <w:sz w:val="24"/>
                <w:szCs w:val="24"/>
              </w:rPr>
              <w:t xml:space="preserve">Can </w:t>
            </w:r>
            <w:r w:rsidRPr="000000D3">
              <w:rPr>
                <w:rFonts w:ascii="Calibri" w:eastAsia="Calibri" w:hAnsi="Calibri" w:cs="Arial"/>
                <w:color w:val="000000"/>
              </w:rPr>
              <w:t xml:space="preserve">read accurately most words of two or more syllables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most words containing common suffixes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</w:rPr>
            </w:pPr>
            <w:r w:rsidRPr="000000D3">
              <w:rPr>
                <w:rFonts w:ascii="Calibri" w:eastAsia="Calibri" w:hAnsi="Calibri" w:cs="Arial"/>
                <w:color w:val="000000"/>
              </w:rPr>
              <w:t xml:space="preserve">Can read most common exception words 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apply their growing knowledge of root words, prefixes and suffixes both to read aloud and to understand the meaning of new words they meet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0"/>
        </w:trPr>
        <w:tc>
          <w:tcPr>
            <w:tcW w:w="6407" w:type="dxa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read further exception words, noting the unusual correspondences between spelling and sound, and where these occur in the word (Words from spelling list Year 3 and 4)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</w:p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br w:type="page"/>
      </w:r>
    </w:p>
    <w:p w:rsidR="000000D3" w:rsidRPr="000000D3" w:rsidRDefault="00D84BF6" w:rsidP="000000D3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(assessment tools 3,6,7</w:t>
      </w:r>
      <w:r w:rsidR="000000D3" w:rsidRPr="000000D3">
        <w:rPr>
          <w:rFonts w:ascii="Calibri" w:eastAsia="Calibri" w:hAnsi="Calibri" w:cs="Times New Roman"/>
          <w:b/>
        </w:rPr>
        <w:t>)</w:t>
      </w:r>
    </w:p>
    <w:tbl>
      <w:tblPr>
        <w:tblStyle w:val="TableGrid2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567"/>
        <w:gridCol w:w="567"/>
        <w:gridCol w:w="567"/>
        <w:gridCol w:w="567"/>
        <w:gridCol w:w="1134"/>
      </w:tblGrid>
      <w:tr w:rsidR="000000D3" w:rsidRPr="000000D3" w:rsidTr="000000D3">
        <w:trPr>
          <w:trHeight w:val="236"/>
        </w:trPr>
        <w:tc>
          <w:tcPr>
            <w:tcW w:w="6407" w:type="dxa"/>
            <w:shd w:val="clear" w:color="auto" w:fill="D9D9D9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Pencil /Fine motor control/Transcription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Date</w:t>
            </w: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make simple marks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24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draw simple shapes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24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over write their name</w:t>
            </w:r>
          </w:p>
        </w:tc>
        <w:tc>
          <w:tcPr>
            <w:tcW w:w="567" w:type="dxa"/>
            <w:shd w:val="clear" w:color="auto" w:fill="FF33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24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hold the pencil correctly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24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copy words under a model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68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draw a picture of a person  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form correctly 10 – 19 lower case letters correctly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form correctly 20 – 39 lower case letters correctly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form most lower case letters correctly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 form all capital letters correctly 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Their writing is legible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 letters are the correct size / orientation?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They use appropriate spacing in between words?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 xml:space="preserve">Can use the diagonal and horizontal strokes that are needed to join letters and understand which letters, when adjacent to one another, are best left </w:t>
            </w:r>
            <w:proofErr w:type="spellStart"/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unjoined</w:t>
            </w:r>
            <w:proofErr w:type="spellEnd"/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000D3" w:rsidRPr="000000D3" w:rsidTr="000000D3">
        <w:trPr>
          <w:trHeight w:val="236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Increase the legibility, consistency and quality of their handwriting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</w:p>
    <w:p w:rsidR="000000D3" w:rsidRPr="000000D3" w:rsidRDefault="000000D3" w:rsidP="000000D3">
      <w:pPr>
        <w:spacing w:after="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t>(assessment tools 3,4</w:t>
      </w:r>
      <w:r w:rsidR="00D84BF6">
        <w:rPr>
          <w:rFonts w:ascii="Calibri" w:eastAsia="Calibri" w:hAnsi="Calibri" w:cs="Times New Roman"/>
          <w:b/>
        </w:rPr>
        <w:t>,</w:t>
      </w:r>
      <w:r w:rsidRPr="000000D3">
        <w:rPr>
          <w:rFonts w:ascii="Calibri" w:eastAsia="Calibri" w:hAnsi="Calibri" w:cs="Times New Roman"/>
          <w:b/>
        </w:rPr>
        <w:t>6</w:t>
      </w:r>
      <w:r w:rsidR="00E52D65">
        <w:rPr>
          <w:rFonts w:ascii="Calibri" w:eastAsia="Calibri" w:hAnsi="Calibri" w:cs="Times New Roman"/>
          <w:b/>
        </w:rPr>
        <w:t>,9</w:t>
      </w:r>
      <w:r w:rsidRPr="000000D3">
        <w:rPr>
          <w:rFonts w:ascii="Calibri" w:eastAsia="Calibri" w:hAnsi="Calibri" w:cs="Times New Roman"/>
          <w:b/>
        </w:rPr>
        <w:t>)</w:t>
      </w:r>
    </w:p>
    <w:tbl>
      <w:tblPr>
        <w:tblStyle w:val="TableGrid2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567"/>
        <w:gridCol w:w="567"/>
        <w:gridCol w:w="567"/>
        <w:gridCol w:w="567"/>
        <w:gridCol w:w="1134"/>
      </w:tblGrid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D9D9D9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Transcription- Spelling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Date</w:t>
            </w: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Identify or write 10 – 19 graphemes from sound prompts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CV  and CVC words with known graphemes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write their full name?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Identify or write  20 - 39 graphemes from sound prompts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CVCC, CCVC  (consonant clusters and  consonant digraphs)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common suffixes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make phonetically plausible attempts to spell unfamiliar words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a few common exception words (at least 5)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Identify or write 40+ graphemes from sound prompts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some common exception words (at least 10)</w:t>
            </w:r>
          </w:p>
        </w:tc>
        <w:tc>
          <w:tcPr>
            <w:tcW w:w="567" w:type="dxa"/>
            <w:shd w:val="clear" w:color="auto" w:fill="7030A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many common exception words (at least 40)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add suffixes beginning with vowel letters to words of more than one syllable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add prefixes </w:t>
            </w:r>
            <w:r w:rsidRPr="000000D3">
              <w:rPr>
                <w:rFonts w:ascii="Calibri" w:eastAsia="Calibri" w:hAnsi="Calibri" w:cs="Times New Roman"/>
                <w:b/>
              </w:rPr>
              <w:t xml:space="preserve">un, dis,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mis</w:t>
            </w:r>
            <w:proofErr w:type="spellEnd"/>
            <w:r w:rsidRPr="000000D3">
              <w:rPr>
                <w:rFonts w:ascii="Calibri" w:eastAsia="Calibri" w:hAnsi="Calibri" w:cs="Times New Roman"/>
                <w:b/>
              </w:rPr>
              <w:t>, in</w:t>
            </w:r>
            <w:r w:rsidRPr="000000D3">
              <w:rPr>
                <w:rFonts w:ascii="Calibri" w:eastAsia="Calibri" w:hAnsi="Calibri" w:cs="Times New Roman"/>
              </w:rPr>
              <w:t xml:space="preserve"> in words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add suffix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ation</w:t>
            </w:r>
            <w:proofErr w:type="spellEnd"/>
            <w:r w:rsidRPr="000000D3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ly</w:t>
            </w:r>
            <w:proofErr w:type="spellEnd"/>
            <w:r w:rsidRPr="000000D3">
              <w:rPr>
                <w:rFonts w:ascii="Calibri" w:eastAsia="Calibri" w:hAnsi="Calibri" w:cs="Times New Roman"/>
              </w:rPr>
              <w:t>, to common words and know the spelling rules for some exceptions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spell words with endings of </w:t>
            </w:r>
            <w:r w:rsidRPr="000000D3">
              <w:rPr>
                <w:rFonts w:ascii="Calibri" w:eastAsia="Calibri" w:hAnsi="Calibri" w:cs="Times New Roman"/>
                <w:b/>
              </w:rPr>
              <w:t xml:space="preserve">sure,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ture</w:t>
            </w:r>
            <w:proofErr w:type="spellEnd"/>
            <w:r w:rsidRPr="000000D3">
              <w:rPr>
                <w:rFonts w:ascii="Calibri" w:eastAsia="Calibri" w:hAnsi="Calibri" w:cs="Times New Roman"/>
              </w:rPr>
              <w:t xml:space="preserve"> and</w:t>
            </w:r>
            <w:r w:rsidRPr="000000D3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er</w:t>
            </w:r>
            <w:proofErr w:type="spellEnd"/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spell words with </w:t>
            </w:r>
            <w:r w:rsidRPr="000000D3">
              <w:rPr>
                <w:rFonts w:ascii="Calibri" w:eastAsia="Calibri" w:hAnsi="Calibri" w:cs="Times New Roman"/>
                <w:b/>
              </w:rPr>
              <w:t xml:space="preserve">tian,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sion</w:t>
            </w:r>
            <w:proofErr w:type="spellEnd"/>
            <w:r w:rsidRPr="000000D3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ssion</w:t>
            </w:r>
            <w:proofErr w:type="spellEnd"/>
            <w:r w:rsidRPr="000000D3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0000D3">
              <w:rPr>
                <w:rFonts w:ascii="Calibri" w:eastAsia="Calibri" w:hAnsi="Calibri" w:cs="Times New Roman"/>
                <w:b/>
              </w:rPr>
              <w:t>cian</w:t>
            </w:r>
            <w:proofErr w:type="spellEnd"/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words with the possession apostrophe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homophones and near homophones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308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spell words from the year 3/ 4 word list</w:t>
            </w:r>
          </w:p>
        </w:tc>
        <w:tc>
          <w:tcPr>
            <w:tcW w:w="567" w:type="dxa"/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br w:type="page"/>
      </w:r>
    </w:p>
    <w:p w:rsidR="00E52D65" w:rsidRPr="000000D3" w:rsidRDefault="00E52D65" w:rsidP="00E52D65">
      <w:pPr>
        <w:spacing w:after="0" w:line="276" w:lineRule="auto"/>
        <w:rPr>
          <w:rFonts w:ascii="Calibri" w:eastAsia="Calibri" w:hAnsi="Calibri" w:cs="Times New Roman"/>
          <w:b/>
        </w:rPr>
      </w:pPr>
      <w:r w:rsidRPr="000000D3">
        <w:rPr>
          <w:rFonts w:ascii="Calibri" w:eastAsia="Calibri" w:hAnsi="Calibri" w:cs="Times New Roman"/>
          <w:b/>
        </w:rPr>
        <w:lastRenderedPageBreak/>
        <w:t xml:space="preserve">(assessment tools </w:t>
      </w:r>
      <w:r>
        <w:rPr>
          <w:rFonts w:ascii="Calibri" w:eastAsia="Calibri" w:hAnsi="Calibri" w:cs="Times New Roman"/>
          <w:b/>
        </w:rPr>
        <w:t>7,8,9</w:t>
      </w:r>
      <w:r w:rsidRPr="000000D3">
        <w:rPr>
          <w:rFonts w:ascii="Calibri" w:eastAsia="Calibri" w:hAnsi="Calibri" w:cs="Times New Roman"/>
          <w:b/>
        </w:rPr>
        <w:t>)</w:t>
      </w:r>
    </w:p>
    <w:tbl>
      <w:tblPr>
        <w:tblStyle w:val="TableGrid2"/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567"/>
        <w:gridCol w:w="567"/>
        <w:gridCol w:w="567"/>
        <w:gridCol w:w="567"/>
        <w:gridCol w:w="1134"/>
      </w:tblGrid>
      <w:tr w:rsidR="000000D3" w:rsidRPr="000000D3" w:rsidTr="000000D3">
        <w:trPr>
          <w:trHeight w:val="250"/>
          <w:tblHeader/>
        </w:trPr>
        <w:tc>
          <w:tcPr>
            <w:tcW w:w="6407" w:type="dxa"/>
            <w:shd w:val="clear" w:color="auto" w:fill="D9D9D9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</w:rPr>
              <w:t>Writing Composition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Level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sz w:val="16"/>
                <w:szCs w:val="16"/>
              </w:rPr>
              <w:t>Date achieved</w:t>
            </w:r>
          </w:p>
        </w:tc>
      </w:tr>
      <w:tr w:rsidR="000000D3" w:rsidRPr="000000D3" w:rsidTr="0045764E">
        <w:trPr>
          <w:trHeight w:val="227"/>
        </w:trPr>
        <w:tc>
          <w:tcPr>
            <w:tcW w:w="6407" w:type="dxa"/>
            <w:shd w:val="clear" w:color="auto" w:fill="auto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complete a simple sentence about a picture (verbally)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45764E">
        <w:trPr>
          <w:trHeight w:val="227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compose sentences from a picture prompt (verbally)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45764E">
        <w:trPr>
          <w:trHeight w:val="227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Their verbal sentences are grammatically correct.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PKSS2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45764E">
        <w:trPr>
          <w:trHeight w:val="227"/>
        </w:trPr>
        <w:tc>
          <w:tcPr>
            <w:tcW w:w="6407" w:type="dxa"/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They can remember their sentence to write.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bottom w:val="nil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They can write their sentence correctly.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nil"/>
              <w:bottom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If not spelt correctly, is it legible.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bottom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They can compose a sequence of sentences for a scribe about their weekend.</w:t>
            </w:r>
          </w:p>
        </w:tc>
        <w:tc>
          <w:tcPr>
            <w:tcW w:w="567" w:type="dxa"/>
            <w:shd w:val="clear" w:color="auto" w:fill="8064A2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auto"/>
              <w:bottom w:val="nil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They can use punctuation: full stop &amp; capital letters (</w:t>
            </w:r>
            <w:r w:rsidRPr="000000D3">
              <w:rPr>
                <w:rFonts w:ascii="Calibri" w:eastAsia="Calibri" w:hAnsi="Calibri" w:cs="Times New Roman"/>
                <w:i/>
              </w:rPr>
              <w:t>assess from dictation</w:t>
            </w:r>
            <w:r w:rsidRPr="000000D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8064A2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Can use simple descriptive language and vocabulary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6"/>
                <w:szCs w:val="16"/>
              </w:rPr>
              <w:t>PKSS5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45764E">
        <w:trPr>
          <w:trHeight w:val="227"/>
        </w:trPr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 xml:space="preserve">Can join clauses with </w:t>
            </w:r>
            <w:r w:rsidRPr="000000D3">
              <w:rPr>
                <w:rFonts w:ascii="Calibri" w:eastAsia="Calibri" w:hAnsi="Calibri" w:cs="Times New Roman"/>
                <w:b/>
              </w:rPr>
              <w:t>and, or, but, when, if, that, because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45764E">
        <w:trPr>
          <w:trHeight w:val="227"/>
        </w:trPr>
        <w:tc>
          <w:tcPr>
            <w:tcW w:w="6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Their written sentences are  grammatically correct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They can use punctuation:  (assess from dictation)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</w:pPr>
            <w:r w:rsidRPr="000000D3">
              <w:rPr>
                <w:rFonts w:ascii="Calibri" w:eastAsia="Calibri" w:hAnsi="Calibri" w:cs="Times New Roman"/>
                <w:b/>
                <w:color w:val="7F7F7F"/>
                <w:sz w:val="16"/>
                <w:szCs w:val="16"/>
              </w:rPr>
              <w:t>PKSS6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.   ?</w:t>
            </w: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.   ?   ,   !</w:t>
            </w:r>
          </w:p>
        </w:tc>
        <w:tc>
          <w:tcPr>
            <w:tcW w:w="567" w:type="dxa"/>
            <w:shd w:val="clear" w:color="auto" w:fill="E747D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.   ?   ,   !   …   ‘   “ ”</w:t>
            </w:r>
          </w:p>
        </w:tc>
        <w:tc>
          <w:tcPr>
            <w:tcW w:w="567" w:type="dxa"/>
            <w:shd w:val="clear" w:color="auto" w:fill="E747D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D9D9D9"/>
              <w:bottom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Calibri" w:hAnsi="Calibri" w:cs="Times New Roman"/>
              </w:rPr>
              <w:t>.   ?   ,   !   …   ‘   “ ”   :   ;  ()   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747D0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organise writing into paragraphs around a theme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 xml:space="preserve">Can extend the range of sentences with </w:t>
            </w:r>
            <w:r w:rsidRPr="000000D3">
              <w:rPr>
                <w:rFonts w:ascii="Calibri" w:eastAsia="Times New Roman" w:hAnsi="Calibri" w:cs="Arial"/>
                <w:b/>
                <w:color w:val="0B0C0C"/>
                <w:lang w:eastAsia="en-GB"/>
              </w:rPr>
              <w:t>more than one clause</w:t>
            </w: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 xml:space="preserve"> by using a wider range of conjunctions, including: </w:t>
            </w:r>
            <w:r w:rsidRPr="000000D3">
              <w:rPr>
                <w:rFonts w:ascii="Calibri" w:eastAsia="Times New Roman" w:hAnsi="Calibri" w:cs="Arial"/>
                <w:b/>
                <w:color w:val="0B0C0C"/>
                <w:lang w:eastAsia="en-GB"/>
              </w:rPr>
              <w:t>when, if, because, although</w:t>
            </w: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use the present  form of verbs in contrast to the past tense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choose nouns or pronouns appropriately for clarity and cohesion and to avoid repetition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use conjunctions, adverbs and prepositions to express time and cause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use commas after fronted adverbials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In narratives, they can create settings, characters and plot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rPr>
                <w:rFonts w:ascii="Calibri" w:eastAsia="Calibri" w:hAnsi="Calibri" w:cs="Times New Roman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In non-narrative material, they can use simple organisational devices for example, headings and sub-headings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Are able to evaluate and edit their writing by assessing the effectiveness of their own and others’ writing and suggesting improvements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000D3" w:rsidRPr="000000D3" w:rsidTr="000000D3">
        <w:trPr>
          <w:trHeight w:val="227"/>
        </w:trPr>
        <w:tc>
          <w:tcPr>
            <w:tcW w:w="640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000D3">
              <w:rPr>
                <w:rFonts w:ascii="Calibri" w:eastAsia="Times New Roman" w:hAnsi="Calibri" w:cs="Arial"/>
                <w:color w:val="0B0C0C"/>
                <w:lang w:eastAsia="en-GB"/>
              </w:rPr>
              <w:t>Can evaluate and edit their writing proposing changes to grammar and vocabulary to improve consistency, including the accurate use of pronouns in sentences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FF33CC"/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color w:val="FFFFFF"/>
              </w:rPr>
            </w:pPr>
            <w:r w:rsidRPr="000000D3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Y3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000D3" w:rsidRPr="000000D3" w:rsidRDefault="000000D3" w:rsidP="000000D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000D3" w:rsidRPr="000000D3" w:rsidRDefault="000000D3" w:rsidP="000000D3">
      <w:pPr>
        <w:spacing w:after="200" w:line="276" w:lineRule="auto"/>
        <w:rPr>
          <w:rFonts w:ascii="Calibri" w:eastAsia="Calibri" w:hAnsi="Calibri" w:cs="Times New Roman"/>
        </w:rPr>
      </w:pPr>
    </w:p>
    <w:p w:rsidR="00A34D7E" w:rsidRPr="000000D3" w:rsidRDefault="00A34D7E" w:rsidP="000000D3"/>
    <w:sectPr w:rsidR="00A34D7E" w:rsidRPr="000000D3" w:rsidSect="000000D3">
      <w:headerReference w:type="default" r:id="rId7"/>
      <w:footerReference w:type="default" r:id="rId8"/>
      <w:pgSz w:w="11906" w:h="16838"/>
      <w:pgMar w:top="1440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7E" w:rsidRDefault="00A34D7E" w:rsidP="00A34D7E">
      <w:pPr>
        <w:spacing w:after="0" w:line="240" w:lineRule="auto"/>
      </w:pPr>
      <w:r>
        <w:separator/>
      </w:r>
    </w:p>
  </w:endnote>
  <w:endnote w:type="continuationSeparator" w:id="0">
    <w:p w:rsidR="00A34D7E" w:rsidRDefault="00A34D7E" w:rsidP="00A3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9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D7E" w:rsidRDefault="00A34D7E" w:rsidP="00A34D7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79541" wp14:editId="46F58D7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57CB01D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" strokecolor="#5b9bd5 [3204]" strokeweight="1.5pt">
                  <v:stroke linestyle="thinThick" joinstyle="miter"/>
                </v:line>
              </w:pict>
            </mc:Fallback>
          </mc:AlternateContent>
        </w:r>
      </w:p>
      <w:p w:rsidR="00A34D7E" w:rsidRDefault="00A34D7E" w:rsidP="00A34D7E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A34D7E" w:rsidRDefault="00A34D7E" w:rsidP="00A34D7E">
        <w:pPr>
          <w:pStyle w:val="Footer"/>
          <w:jc w:val="center"/>
        </w:pPr>
      </w:p>
      <w:p w:rsidR="00A34D7E" w:rsidRDefault="00A34D7E" w:rsidP="00A34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B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7E" w:rsidRDefault="00A34D7E" w:rsidP="00A34D7E">
      <w:pPr>
        <w:spacing w:after="0" w:line="240" w:lineRule="auto"/>
      </w:pPr>
      <w:r>
        <w:separator/>
      </w:r>
    </w:p>
  </w:footnote>
  <w:footnote w:type="continuationSeparator" w:id="0">
    <w:p w:rsidR="00A34D7E" w:rsidRDefault="00A34D7E" w:rsidP="00A3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F8" w:rsidRDefault="000000D3">
    <w:pPr>
      <w:pStyle w:val="Header"/>
    </w:pPr>
    <w:r w:rsidRPr="00581FF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7499B32" wp14:editId="5DD3C2E0">
          <wp:simplePos x="0" y="0"/>
          <wp:positionH relativeFrom="column">
            <wp:posOffset>4656347</wp:posOffset>
          </wp:positionH>
          <wp:positionV relativeFrom="paragraph">
            <wp:posOffset>-164189</wp:posOffset>
          </wp:positionV>
          <wp:extent cx="1562100" cy="434340"/>
          <wp:effectExtent l="0" t="0" r="0" b="3810"/>
          <wp:wrapNone/>
          <wp:docPr id="16" name="Picture 1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FF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CB9329" wp14:editId="3CD94C1C">
          <wp:simplePos x="0" y="0"/>
          <wp:positionH relativeFrom="column">
            <wp:posOffset>-435454</wp:posOffset>
          </wp:positionH>
          <wp:positionV relativeFrom="paragraph">
            <wp:posOffset>-283150</wp:posOffset>
          </wp:positionV>
          <wp:extent cx="1144270" cy="5219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E"/>
    <w:rsid w:val="000000D3"/>
    <w:rsid w:val="002C5575"/>
    <w:rsid w:val="00581FF8"/>
    <w:rsid w:val="008F006F"/>
    <w:rsid w:val="00A34D7E"/>
    <w:rsid w:val="00AD0845"/>
    <w:rsid w:val="00D84BF6"/>
    <w:rsid w:val="00E5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2ADB89"/>
  <w15:chartTrackingRefBased/>
  <w15:docId w15:val="{90E09490-7852-4DE5-95CC-76C92FA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D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D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D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D7E"/>
  </w:style>
  <w:style w:type="paragraph" w:styleId="Footer">
    <w:name w:val="footer"/>
    <w:basedOn w:val="Normal"/>
    <w:link w:val="FooterChar"/>
    <w:uiPriority w:val="99"/>
    <w:unhideWhenUsed/>
    <w:rsid w:val="00A3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D7E"/>
  </w:style>
  <w:style w:type="paragraph" w:styleId="BalloonText">
    <w:name w:val="Balloon Text"/>
    <w:basedOn w:val="Normal"/>
    <w:link w:val="BalloonTextChar"/>
    <w:uiPriority w:val="99"/>
    <w:semiHidden/>
    <w:unhideWhenUsed/>
    <w:rsid w:val="00A3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7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34D7E"/>
    <w:pPr>
      <w:spacing w:before="60" w:after="120" w:line="276" w:lineRule="auto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A34D7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34D7E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A3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D7E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34D7E"/>
    <w:rPr>
      <w:smallCaps/>
      <w:color w:val="ED7D31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4D7E"/>
    <w:pPr>
      <w:spacing w:after="100" w:line="276" w:lineRule="auto"/>
      <w:ind w:left="220"/>
    </w:pPr>
  </w:style>
  <w:style w:type="character" w:styleId="PlaceholderText">
    <w:name w:val="Placeholder Text"/>
    <w:basedOn w:val="DefaultParagraphFont"/>
    <w:uiPriority w:val="99"/>
    <w:semiHidden/>
    <w:rsid w:val="00A34D7E"/>
    <w:rPr>
      <w:color w:val="808080"/>
    </w:rPr>
  </w:style>
  <w:style w:type="paragraph" w:styleId="ListParagraph">
    <w:name w:val="List Paragraph"/>
    <w:basedOn w:val="Normal"/>
    <w:uiPriority w:val="34"/>
    <w:qFormat/>
    <w:rsid w:val="00A34D7E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3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34D7E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A34D7E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Gaunt</dc:creator>
  <cp:keywords/>
  <dc:description/>
  <cp:lastModifiedBy>Fiona Whitaker</cp:lastModifiedBy>
  <cp:revision>4</cp:revision>
  <dcterms:created xsi:type="dcterms:W3CDTF">2020-09-25T09:23:00Z</dcterms:created>
  <dcterms:modified xsi:type="dcterms:W3CDTF">2020-09-28T20:17:00Z</dcterms:modified>
</cp:coreProperties>
</file>